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477" w:rsidRDefault="007B5477" w:rsidP="007B5477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7B5477">
        <w:rPr>
          <w:b/>
          <w:sz w:val="28"/>
          <w:szCs w:val="28"/>
        </w:rPr>
        <w:t>Parametry a umístění povinných log</w:t>
      </w:r>
    </w:p>
    <w:p w:rsidR="00773BC6" w:rsidRPr="007B5477" w:rsidRDefault="00773BC6" w:rsidP="007B5477">
      <w:pPr>
        <w:ind w:left="360"/>
        <w:jc w:val="center"/>
        <w:rPr>
          <w:b/>
          <w:sz w:val="28"/>
          <w:szCs w:val="28"/>
        </w:rPr>
      </w:pPr>
    </w:p>
    <w:p w:rsidR="007B5477" w:rsidRDefault="007B5477" w:rsidP="007B5477">
      <w:pPr>
        <w:ind w:left="360"/>
        <w:jc w:val="both"/>
        <w:rPr>
          <w:b/>
          <w:sz w:val="24"/>
          <w:szCs w:val="24"/>
        </w:rPr>
      </w:pPr>
      <w:r w:rsidRPr="007C32CD">
        <w:rPr>
          <w:b/>
          <w:sz w:val="24"/>
          <w:szCs w:val="24"/>
        </w:rPr>
        <w:t>Barevná verze log:</w:t>
      </w:r>
    </w:p>
    <w:p w:rsidR="007B5477" w:rsidRPr="007C32CD" w:rsidRDefault="007B5477" w:rsidP="007B5477">
      <w:pPr>
        <w:ind w:left="360"/>
        <w:jc w:val="both"/>
        <w:rPr>
          <w:b/>
          <w:sz w:val="24"/>
          <w:szCs w:val="24"/>
        </w:rPr>
      </w:pPr>
    </w:p>
    <w:p w:rsidR="007B5477" w:rsidRDefault="007B5477" w:rsidP="007B5477">
      <w:pPr>
        <w:ind w:left="360"/>
        <w:jc w:val="both"/>
      </w:pPr>
      <w:r>
        <w:t>Horizontální:</w:t>
      </w:r>
    </w:p>
    <w:p w:rsidR="007B5477" w:rsidRPr="007C32CD" w:rsidRDefault="00365CBC" w:rsidP="007B5477">
      <w:pPr>
        <w:ind w:left="360"/>
        <w:jc w:val="both"/>
        <w:rPr>
          <w:i/>
        </w:rPr>
      </w:pPr>
      <w:r>
        <w:rPr>
          <w:i/>
          <w:noProof/>
          <w:lang w:eastAsia="cs-CZ"/>
        </w:rPr>
        <w:drawing>
          <wp:inline distT="0" distB="0" distL="0" distR="0">
            <wp:extent cx="5372100" cy="838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barevny_h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477" w:rsidRDefault="007B5477" w:rsidP="007B5477">
      <w:pPr>
        <w:ind w:left="360"/>
        <w:jc w:val="both"/>
      </w:pPr>
      <w:r>
        <w:t>Vertikální:</w:t>
      </w:r>
    </w:p>
    <w:p w:rsidR="007B5477" w:rsidRDefault="00365CBC" w:rsidP="007B5477">
      <w:pPr>
        <w:ind w:left="360"/>
        <w:jc w:val="both"/>
      </w:pPr>
      <w:r>
        <w:rPr>
          <w:noProof/>
          <w:lang w:eastAsia="cs-CZ"/>
        </w:rPr>
        <w:drawing>
          <wp:inline distT="0" distB="0" distL="0" distR="0">
            <wp:extent cx="2857500" cy="15335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barevny_v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477" w:rsidRDefault="007B5477" w:rsidP="007B5477">
      <w:pPr>
        <w:ind w:left="360"/>
        <w:jc w:val="both"/>
        <w:rPr>
          <w:b/>
          <w:i/>
        </w:rPr>
      </w:pPr>
    </w:p>
    <w:p w:rsidR="007B5477" w:rsidRDefault="007B5477" w:rsidP="007B5477">
      <w:pPr>
        <w:ind w:left="360"/>
        <w:jc w:val="both"/>
        <w:rPr>
          <w:b/>
          <w:sz w:val="24"/>
          <w:szCs w:val="24"/>
        </w:rPr>
      </w:pPr>
      <w:r w:rsidRPr="007C32CD">
        <w:rPr>
          <w:b/>
          <w:sz w:val="24"/>
          <w:szCs w:val="24"/>
        </w:rPr>
        <w:t>Černobílá verze log:</w:t>
      </w:r>
    </w:p>
    <w:p w:rsidR="00773BC6" w:rsidRPr="007C32CD" w:rsidRDefault="00773BC6" w:rsidP="007B5477">
      <w:pPr>
        <w:ind w:left="360"/>
        <w:jc w:val="both"/>
        <w:rPr>
          <w:b/>
          <w:sz w:val="24"/>
          <w:szCs w:val="24"/>
        </w:rPr>
      </w:pPr>
    </w:p>
    <w:p w:rsidR="007B5477" w:rsidRDefault="007B5477" w:rsidP="007B5477">
      <w:pPr>
        <w:ind w:left="360"/>
        <w:jc w:val="both"/>
        <w:rPr>
          <w:noProof/>
          <w:lang w:eastAsia="cs-CZ"/>
        </w:rPr>
      </w:pPr>
      <w:r>
        <w:t>Horizontální:</w:t>
      </w:r>
      <w:r w:rsidRPr="00531CD8">
        <w:rPr>
          <w:noProof/>
          <w:lang w:eastAsia="cs-CZ"/>
        </w:rPr>
        <w:t xml:space="preserve"> </w:t>
      </w:r>
    </w:p>
    <w:p w:rsidR="007B5477" w:rsidRDefault="00365CBC" w:rsidP="007B5477">
      <w:pPr>
        <w:ind w:left="360"/>
        <w:jc w:val="both"/>
      </w:pPr>
      <w:r>
        <w:rPr>
          <w:noProof/>
          <w:lang w:eastAsia="cs-CZ"/>
        </w:rPr>
        <w:drawing>
          <wp:inline distT="0" distB="0" distL="0" distR="0">
            <wp:extent cx="5353050" cy="7620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link_cernobily_h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477" w:rsidRDefault="007B5477" w:rsidP="007B5477">
      <w:pPr>
        <w:ind w:left="360"/>
        <w:jc w:val="both"/>
      </w:pPr>
      <w:r>
        <w:t>Vertikální:</w:t>
      </w:r>
    </w:p>
    <w:p w:rsidR="007B5477" w:rsidRDefault="00F55425" w:rsidP="007B5477">
      <w:pPr>
        <w:ind w:left="360"/>
        <w:jc w:val="both"/>
      </w:pPr>
      <w:r>
        <w:rPr>
          <w:noProof/>
          <w:lang w:eastAsia="cs-CZ"/>
        </w:rPr>
        <w:drawing>
          <wp:inline distT="0" distB="0" distL="0" distR="0">
            <wp:extent cx="2886075" cy="143827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link_cernobily_v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BC6" w:rsidRDefault="00773BC6" w:rsidP="007B5477">
      <w:pPr>
        <w:ind w:left="360"/>
        <w:jc w:val="both"/>
      </w:pPr>
    </w:p>
    <w:p w:rsidR="007B5477" w:rsidRPr="00182806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182806">
        <w:rPr>
          <w:rFonts w:asciiTheme="minorHAnsi" w:hAnsiTheme="minorHAnsi"/>
          <w:sz w:val="22"/>
        </w:rPr>
        <w:lastRenderedPageBreak/>
        <w:t>Loga musí být vždy umístěn</w:t>
      </w:r>
      <w:r>
        <w:rPr>
          <w:rFonts w:asciiTheme="minorHAnsi" w:hAnsiTheme="minorHAnsi"/>
          <w:sz w:val="22"/>
        </w:rPr>
        <w:t>a</w:t>
      </w:r>
      <w:r w:rsidRPr="00182806">
        <w:rPr>
          <w:rFonts w:asciiTheme="minorHAnsi" w:hAnsiTheme="minorHAnsi"/>
          <w:sz w:val="22"/>
        </w:rPr>
        <w:t xml:space="preserve"> tak, aby byl</w:t>
      </w:r>
      <w:r>
        <w:rPr>
          <w:rFonts w:asciiTheme="minorHAnsi" w:hAnsiTheme="minorHAnsi"/>
          <w:sz w:val="22"/>
        </w:rPr>
        <w:t>a zřetelně viditelná</w:t>
      </w:r>
      <w:r w:rsidRPr="00182806">
        <w:rPr>
          <w:rFonts w:asciiTheme="minorHAnsi" w:hAnsiTheme="minorHAnsi"/>
          <w:sz w:val="22"/>
        </w:rPr>
        <w:t>. Je</w:t>
      </w:r>
      <w:r>
        <w:rPr>
          <w:rFonts w:asciiTheme="minorHAnsi" w:hAnsiTheme="minorHAnsi"/>
          <w:sz w:val="22"/>
        </w:rPr>
        <w:t>jich</w:t>
      </w:r>
      <w:r w:rsidRPr="00182806">
        <w:rPr>
          <w:rFonts w:asciiTheme="minorHAnsi" w:hAnsiTheme="minorHAnsi"/>
          <w:sz w:val="22"/>
        </w:rPr>
        <w:t xml:space="preserve"> umístění a velikost musí b</w:t>
      </w:r>
      <w:r>
        <w:rPr>
          <w:rFonts w:asciiTheme="minorHAnsi" w:hAnsiTheme="minorHAnsi"/>
          <w:sz w:val="22"/>
        </w:rPr>
        <w:t>ýt úměrná</w:t>
      </w:r>
      <w:r w:rsidRPr="00182806">
        <w:rPr>
          <w:rFonts w:asciiTheme="minorHAnsi" w:hAnsiTheme="minorHAnsi"/>
          <w:sz w:val="22"/>
        </w:rPr>
        <w:t xml:space="preserve"> rozměrům použitého materiálu nebo doku</w:t>
      </w:r>
      <w:r>
        <w:rPr>
          <w:rFonts w:asciiTheme="minorHAnsi" w:hAnsiTheme="minorHAnsi"/>
          <w:sz w:val="22"/>
        </w:rPr>
        <w:t>mentu. Na internetové stránce jsou loga</w:t>
      </w:r>
      <w:r w:rsidRPr="00182806">
        <w:rPr>
          <w:rFonts w:asciiTheme="minorHAnsi" w:hAnsiTheme="minorHAnsi"/>
          <w:sz w:val="22"/>
        </w:rPr>
        <w:t xml:space="preserve"> umístěn</w:t>
      </w:r>
      <w:r>
        <w:rPr>
          <w:rFonts w:asciiTheme="minorHAnsi" w:hAnsiTheme="minorHAnsi"/>
          <w:sz w:val="22"/>
        </w:rPr>
        <w:t>a</w:t>
      </w:r>
      <w:r w:rsidRPr="00182806">
        <w:rPr>
          <w:rFonts w:asciiTheme="minorHAnsi" w:hAnsiTheme="minorHAnsi"/>
          <w:sz w:val="22"/>
        </w:rPr>
        <w:t xml:space="preserve"> tak, aby byl</w:t>
      </w:r>
      <w:r>
        <w:rPr>
          <w:rFonts w:asciiTheme="minorHAnsi" w:hAnsiTheme="minorHAnsi"/>
          <w:sz w:val="22"/>
        </w:rPr>
        <w:t>a viditelná</w:t>
      </w:r>
      <w:r w:rsidRPr="00182806">
        <w:rPr>
          <w:rFonts w:asciiTheme="minorHAnsi" w:hAnsiTheme="minorHAnsi"/>
          <w:sz w:val="22"/>
        </w:rPr>
        <w:t xml:space="preserve"> při otevření stránky na digitálním zařízení bez nutnosti přesunu na spodní část stránky. </w:t>
      </w:r>
    </w:p>
    <w:p w:rsidR="007B5477" w:rsidRPr="00182806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182806">
        <w:rPr>
          <w:rFonts w:asciiTheme="minorHAnsi" w:hAnsiTheme="minorHAnsi"/>
          <w:sz w:val="22"/>
        </w:rPr>
        <w:t>Loga se na i</w:t>
      </w:r>
      <w:r>
        <w:rPr>
          <w:rFonts w:asciiTheme="minorHAnsi" w:hAnsiTheme="minorHAnsi"/>
          <w:sz w:val="22"/>
        </w:rPr>
        <w:t>nternetových stránkách zobrazují</w:t>
      </w:r>
      <w:r w:rsidRPr="00182806">
        <w:rPr>
          <w:rFonts w:asciiTheme="minorHAnsi" w:hAnsiTheme="minorHAnsi"/>
          <w:sz w:val="22"/>
        </w:rPr>
        <w:t xml:space="preserve"> v barevném provedení. Ve všech ostatních médiích se barevné provedení použije, kdykoli je to možné, jednobarevnou verzi lze použít pouze v odůvodněných případech. Odůvodněnými případy se rozumí zejména materiály, které jsou tištěny či určeny k tisku na běžných tiskárnách a další případy, kdy je použití barevné verze log nehospodárné, neekologické či neestetické</w:t>
      </w:r>
      <w:r>
        <w:rPr>
          <w:rFonts w:asciiTheme="minorHAnsi" w:hAnsiTheme="minorHAnsi"/>
          <w:sz w:val="22"/>
        </w:rPr>
        <w:t>.</w:t>
      </w:r>
    </w:p>
    <w:p w:rsidR="007B5477" w:rsidRPr="00540669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540669">
        <w:rPr>
          <w:rFonts w:asciiTheme="minorHAnsi" w:hAnsiTheme="minorHAnsi"/>
          <w:sz w:val="22"/>
        </w:rPr>
        <w:t>Logo EU musí mít nejméně stejnou velikost (měřeno na výšku nebo šířku) jako největší z</w:t>
      </w:r>
      <w:r>
        <w:rPr>
          <w:rFonts w:asciiTheme="minorHAnsi" w:hAnsiTheme="minorHAnsi"/>
          <w:sz w:val="22"/>
        </w:rPr>
        <w:t xml:space="preserve"> ostatních </w:t>
      </w:r>
      <w:r w:rsidRPr="00540669">
        <w:rPr>
          <w:rFonts w:asciiTheme="minorHAnsi" w:hAnsiTheme="minorHAnsi"/>
          <w:sz w:val="22"/>
        </w:rPr>
        <w:t xml:space="preserve">dalších použitých </w:t>
      </w:r>
      <w:r>
        <w:rPr>
          <w:rFonts w:asciiTheme="minorHAnsi" w:hAnsiTheme="minorHAnsi"/>
          <w:sz w:val="22"/>
        </w:rPr>
        <w:t>log.</w:t>
      </w:r>
    </w:p>
    <w:p w:rsidR="007B5477" w:rsidRPr="007B5477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540669">
        <w:rPr>
          <w:rFonts w:asciiTheme="minorHAnsi" w:hAnsiTheme="minorHAnsi"/>
          <w:sz w:val="22"/>
        </w:rPr>
        <w:t>Logo EU musí být vždy na prvním místě (horizontálním řazení vždy na první pozici zleva a ve vertikálním řazení na nejvyšší pozici</w:t>
      </w:r>
      <w:r>
        <w:rPr>
          <w:rFonts w:asciiTheme="minorHAnsi" w:hAnsiTheme="minorHAnsi"/>
          <w:sz w:val="22"/>
        </w:rPr>
        <w:t xml:space="preserve"> – viz výše).</w:t>
      </w:r>
    </w:p>
    <w:sectPr w:rsidR="007B5477" w:rsidRPr="007B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62A5"/>
    <w:multiLevelType w:val="hybridMultilevel"/>
    <w:tmpl w:val="39E8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77"/>
    <w:rsid w:val="000F2403"/>
    <w:rsid w:val="00363EB6"/>
    <w:rsid w:val="00365CBC"/>
    <w:rsid w:val="00773BC6"/>
    <w:rsid w:val="007B5477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72A9F-CD15-4260-A20E-2125A018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5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5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Jozífová Kristýna</cp:lastModifiedBy>
  <cp:revision>2</cp:revision>
  <dcterms:created xsi:type="dcterms:W3CDTF">2020-01-30T09:55:00Z</dcterms:created>
  <dcterms:modified xsi:type="dcterms:W3CDTF">2020-01-30T09:55:00Z</dcterms:modified>
</cp:coreProperties>
</file>