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657" w:rsidRPr="000E17A8" w:rsidRDefault="00DD24DB" w:rsidP="000E17A8">
      <w:pPr>
        <w:spacing w:line="240" w:lineRule="auto"/>
        <w:jc w:val="both"/>
        <w:rPr>
          <w:rFonts w:asciiTheme="minorHAnsi" w:hAnsiTheme="minorHAnsi"/>
          <w:b/>
          <w:sz w:val="28"/>
          <w:szCs w:val="28"/>
        </w:rPr>
      </w:pPr>
      <w:r>
        <w:rPr>
          <w:rFonts w:asciiTheme="minorHAnsi" w:hAnsiTheme="minorHAnsi"/>
          <w:b/>
          <w:sz w:val="28"/>
          <w:szCs w:val="28"/>
        </w:rPr>
        <w:t>R</w:t>
      </w:r>
      <w:r w:rsidR="00841657" w:rsidRPr="000E17A8">
        <w:rPr>
          <w:rFonts w:asciiTheme="minorHAnsi" w:hAnsiTheme="minorHAnsi"/>
          <w:b/>
          <w:sz w:val="28"/>
          <w:szCs w:val="28"/>
        </w:rPr>
        <w:t>ozpoč</w:t>
      </w:r>
      <w:r>
        <w:rPr>
          <w:rFonts w:asciiTheme="minorHAnsi" w:hAnsiTheme="minorHAnsi"/>
          <w:b/>
          <w:sz w:val="28"/>
          <w:szCs w:val="28"/>
        </w:rPr>
        <w:t>e</w:t>
      </w:r>
      <w:r w:rsidR="00841657" w:rsidRPr="000E17A8">
        <w:rPr>
          <w:rFonts w:asciiTheme="minorHAnsi" w:hAnsiTheme="minorHAnsi"/>
          <w:b/>
          <w:sz w:val="28"/>
          <w:szCs w:val="28"/>
        </w:rPr>
        <w:t>t Středočeského kraje na rok 2022</w:t>
      </w:r>
    </w:p>
    <w:p w:rsidR="000E17A8" w:rsidRPr="000E17A8" w:rsidRDefault="000E17A8" w:rsidP="000E17A8">
      <w:pPr>
        <w:spacing w:line="240" w:lineRule="auto"/>
        <w:jc w:val="both"/>
        <w:rPr>
          <w:rFonts w:asciiTheme="minorHAnsi" w:hAnsiTheme="minorHAnsi"/>
          <w:b/>
          <w:sz w:val="28"/>
          <w:szCs w:val="28"/>
        </w:rPr>
      </w:pPr>
    </w:p>
    <w:p w:rsidR="000E17A8" w:rsidRPr="000E17A8" w:rsidRDefault="00DD24DB" w:rsidP="000E17A8">
      <w:pPr>
        <w:spacing w:line="240" w:lineRule="auto"/>
        <w:jc w:val="both"/>
        <w:rPr>
          <w:rFonts w:asciiTheme="minorHAnsi" w:hAnsiTheme="minorHAnsi"/>
        </w:rPr>
      </w:pPr>
      <w:r>
        <w:rPr>
          <w:rFonts w:asciiTheme="minorHAnsi" w:hAnsiTheme="minorHAnsi"/>
        </w:rPr>
        <w:t>R</w:t>
      </w:r>
      <w:r w:rsidR="000E17A8" w:rsidRPr="000E17A8">
        <w:rPr>
          <w:rFonts w:asciiTheme="minorHAnsi" w:hAnsiTheme="minorHAnsi"/>
        </w:rPr>
        <w:t>ozpoč</w:t>
      </w:r>
      <w:r>
        <w:rPr>
          <w:rFonts w:asciiTheme="minorHAnsi" w:hAnsiTheme="minorHAnsi"/>
        </w:rPr>
        <w:t>e</w:t>
      </w:r>
      <w:r w:rsidR="000E17A8" w:rsidRPr="000E17A8">
        <w:rPr>
          <w:rFonts w:asciiTheme="minorHAnsi" w:hAnsiTheme="minorHAnsi"/>
        </w:rPr>
        <w:t xml:space="preserve">t Středočeského kraje na rok 2022 byl sestaven na základě ustanovení zákona č. 129/2000 Sb., o krajích, ve znění pozdějších předpisů, zákona č. 250/2000 Sb., o rozpočtových pravidlech územních rozpočtů, ve znění pozdějších předpisů, a zákona č. 243/2000 Sb., o rozpočtovém určení výnosů některých daní územním samosprávným celkům a některým státním fondům, ve znění pozdějších předpisů. </w:t>
      </w:r>
    </w:p>
    <w:p w:rsidR="000E17A8" w:rsidRPr="000E17A8" w:rsidRDefault="000E17A8" w:rsidP="000E17A8">
      <w:pPr>
        <w:spacing w:line="240" w:lineRule="auto"/>
        <w:jc w:val="both"/>
        <w:rPr>
          <w:rFonts w:asciiTheme="minorHAnsi" w:hAnsiTheme="minorHAnsi"/>
        </w:rPr>
      </w:pPr>
    </w:p>
    <w:p w:rsidR="000E17A8" w:rsidRPr="000E17A8" w:rsidRDefault="00DD24DB" w:rsidP="000E17A8">
      <w:pPr>
        <w:spacing w:line="240" w:lineRule="auto"/>
        <w:jc w:val="both"/>
        <w:rPr>
          <w:rFonts w:asciiTheme="minorHAnsi" w:hAnsiTheme="minorHAnsi"/>
        </w:rPr>
      </w:pPr>
      <w:r>
        <w:rPr>
          <w:rFonts w:asciiTheme="minorHAnsi" w:hAnsiTheme="minorHAnsi"/>
        </w:rPr>
        <w:t>R</w:t>
      </w:r>
      <w:r w:rsidR="000E17A8" w:rsidRPr="000E17A8">
        <w:rPr>
          <w:rFonts w:asciiTheme="minorHAnsi" w:hAnsiTheme="minorHAnsi"/>
        </w:rPr>
        <w:t>ozpoč</w:t>
      </w:r>
      <w:r>
        <w:rPr>
          <w:rFonts w:asciiTheme="minorHAnsi" w:hAnsiTheme="minorHAnsi"/>
        </w:rPr>
        <w:t>e</w:t>
      </w:r>
      <w:r w:rsidR="000E17A8" w:rsidRPr="000E17A8">
        <w:rPr>
          <w:rFonts w:asciiTheme="minorHAnsi" w:hAnsiTheme="minorHAnsi"/>
        </w:rPr>
        <w:t xml:space="preserve">t vychází ze schváleného rozpočtu roku </w:t>
      </w:r>
      <w:r w:rsidR="000E17A8" w:rsidRPr="000E17A8">
        <w:rPr>
          <w:rFonts w:asciiTheme="minorHAnsi" w:hAnsiTheme="minorHAnsi"/>
          <w:color w:val="000000"/>
        </w:rPr>
        <w:t>2021,</w:t>
      </w:r>
      <w:r w:rsidR="000E17A8" w:rsidRPr="000E17A8">
        <w:rPr>
          <w:rFonts w:asciiTheme="minorHAnsi" w:hAnsiTheme="minorHAnsi"/>
        </w:rPr>
        <w:t xml:space="preserve"> ze střednědobého výhledu rozpočtu kraje a ze skutečného plnění rozpočtu Středočeského kraje v předchozích letech. Jedná se zejména o parametry upraveného rozpočtu a skutečnosti k 30. 9. 2021, z nichž vyplývá očekávané plnění rozpočtu za rok 2021. V očekávané skutečnosti je na příjmové straně předpokládáno plnění ve výši 101 % a na výdajové straně 95 % upraveného rozpočtu k 30. 9. 2021. Aktuální plnění příjmů a výdajů rozpočtu Středočeského kraje, včetně </w:t>
      </w:r>
      <w:proofErr w:type="spellStart"/>
      <w:r w:rsidR="000E17A8" w:rsidRPr="000E17A8">
        <w:rPr>
          <w:rFonts w:asciiTheme="minorHAnsi" w:hAnsiTheme="minorHAnsi"/>
        </w:rPr>
        <w:t>rozklikávacího</w:t>
      </w:r>
      <w:proofErr w:type="spellEnd"/>
      <w:r w:rsidR="000E17A8" w:rsidRPr="000E17A8">
        <w:rPr>
          <w:rFonts w:asciiTheme="minorHAnsi" w:hAnsiTheme="minorHAnsi"/>
        </w:rPr>
        <w:t xml:space="preserve"> rozpočtu, je zveřejněno prostřednictvím nástroje MONITOR na </w:t>
      </w:r>
      <w:hyperlink r:id="rId5" w:history="1">
        <w:r w:rsidR="000E17A8" w:rsidRPr="000E17A8">
          <w:rPr>
            <w:rStyle w:val="Hypertextovodkaz"/>
            <w:rFonts w:asciiTheme="minorHAnsi" w:hAnsiTheme="minorHAnsi"/>
          </w:rPr>
          <w:t>https://monitor.statnipokladna.cz/</w:t>
        </w:r>
      </w:hyperlink>
      <w:r w:rsidR="000E17A8" w:rsidRPr="000E17A8">
        <w:rPr>
          <w:rFonts w:asciiTheme="minorHAnsi" w:hAnsiTheme="minorHAnsi"/>
        </w:rPr>
        <w:t xml:space="preserve"> a na </w:t>
      </w:r>
      <w:hyperlink r:id="rId6" w:history="1">
        <w:proofErr w:type="spellStart"/>
        <w:r w:rsidR="000E17A8" w:rsidRPr="000E17A8">
          <w:rPr>
            <w:rStyle w:val="Hypertextovodkaz"/>
            <w:rFonts w:asciiTheme="minorHAnsi" w:hAnsiTheme="minorHAnsi"/>
          </w:rPr>
          <w:t>Rozklikávací</w:t>
        </w:r>
        <w:proofErr w:type="spellEnd"/>
        <w:r w:rsidR="000E17A8" w:rsidRPr="000E17A8">
          <w:rPr>
            <w:rStyle w:val="Hypertextovodkaz"/>
            <w:rFonts w:asciiTheme="minorHAnsi" w:hAnsiTheme="minorHAnsi"/>
          </w:rPr>
          <w:t xml:space="preserve"> rozpočet GORDIC (kr-stredocesky.cz)</w:t>
        </w:r>
      </w:hyperlink>
      <w:r w:rsidR="000E17A8" w:rsidRPr="000E17A8">
        <w:rPr>
          <w:rFonts w:asciiTheme="minorHAnsi" w:hAnsiTheme="minorHAnsi"/>
        </w:rPr>
        <w:t xml:space="preserve">. </w:t>
      </w:r>
    </w:p>
    <w:p w:rsidR="000E17A8" w:rsidRPr="000E17A8" w:rsidRDefault="000E17A8" w:rsidP="000E17A8">
      <w:pPr>
        <w:spacing w:line="240" w:lineRule="auto"/>
        <w:jc w:val="both"/>
        <w:rPr>
          <w:rFonts w:asciiTheme="minorHAnsi" w:hAnsiTheme="minorHAnsi"/>
        </w:rPr>
      </w:pPr>
      <w:r w:rsidRPr="000E17A8">
        <w:rPr>
          <w:rFonts w:asciiTheme="minorHAnsi" w:hAnsiTheme="minorHAnsi"/>
        </w:rPr>
        <w:t>Při sestavování rozpočtu na rok 2022 Středočeský kraj vycházel i z kvalifikovaných odhadů vývoje daňových příjmů a očekávaného vývoje ekonomické situace.</w:t>
      </w:r>
    </w:p>
    <w:p w:rsidR="000E17A8" w:rsidRPr="000E17A8" w:rsidRDefault="000E17A8" w:rsidP="000E17A8">
      <w:pPr>
        <w:spacing w:line="240" w:lineRule="auto"/>
        <w:jc w:val="both"/>
        <w:rPr>
          <w:rFonts w:asciiTheme="minorHAnsi" w:hAnsiTheme="minorHAnsi"/>
        </w:rPr>
      </w:pPr>
    </w:p>
    <w:p w:rsidR="00841657" w:rsidRPr="000E17A8" w:rsidRDefault="00DD24DB" w:rsidP="000E17A8">
      <w:pPr>
        <w:spacing w:line="240" w:lineRule="auto"/>
        <w:jc w:val="both"/>
        <w:rPr>
          <w:rFonts w:asciiTheme="minorHAnsi" w:hAnsiTheme="minorHAnsi"/>
        </w:rPr>
      </w:pPr>
      <w:r>
        <w:rPr>
          <w:rFonts w:asciiTheme="minorHAnsi" w:hAnsiTheme="minorHAnsi"/>
        </w:rPr>
        <w:t>R</w:t>
      </w:r>
      <w:r w:rsidR="00841657" w:rsidRPr="000E17A8">
        <w:rPr>
          <w:rFonts w:asciiTheme="minorHAnsi" w:hAnsiTheme="minorHAnsi"/>
        </w:rPr>
        <w:t>ozpoč</w:t>
      </w:r>
      <w:r>
        <w:rPr>
          <w:rFonts w:asciiTheme="minorHAnsi" w:hAnsiTheme="minorHAnsi"/>
        </w:rPr>
        <w:t>e</w:t>
      </w:r>
      <w:r w:rsidR="00841657" w:rsidRPr="000E17A8">
        <w:rPr>
          <w:rFonts w:asciiTheme="minorHAnsi" w:hAnsiTheme="minorHAnsi"/>
        </w:rPr>
        <w:t>t Středočeského kraje na rok 2022 splňuje následující priority:</w:t>
      </w:r>
    </w:p>
    <w:p w:rsidR="00841657" w:rsidRPr="000E17A8" w:rsidRDefault="00841657" w:rsidP="000E17A8">
      <w:pPr>
        <w:numPr>
          <w:ilvl w:val="0"/>
          <w:numId w:val="5"/>
        </w:numPr>
        <w:spacing w:line="240" w:lineRule="auto"/>
        <w:jc w:val="both"/>
        <w:rPr>
          <w:rFonts w:asciiTheme="minorHAnsi" w:hAnsiTheme="minorHAnsi"/>
        </w:rPr>
      </w:pPr>
      <w:r w:rsidRPr="000E17A8">
        <w:rPr>
          <w:rFonts w:asciiTheme="minorHAnsi" w:hAnsiTheme="minorHAnsi"/>
        </w:rPr>
        <w:t>Zajištění financování základních činností kraje a jím zřízených a založených organizací (příspěvkových organizací, akciových společností, spolků).</w:t>
      </w:r>
    </w:p>
    <w:p w:rsidR="00841657" w:rsidRPr="000E17A8" w:rsidRDefault="00841657" w:rsidP="000E17A8">
      <w:pPr>
        <w:numPr>
          <w:ilvl w:val="0"/>
          <w:numId w:val="5"/>
        </w:numPr>
        <w:spacing w:line="240" w:lineRule="auto"/>
        <w:jc w:val="both"/>
        <w:rPr>
          <w:rFonts w:asciiTheme="minorHAnsi" w:hAnsiTheme="minorHAnsi"/>
        </w:rPr>
      </w:pPr>
      <w:r w:rsidRPr="000E17A8">
        <w:rPr>
          <w:rFonts w:asciiTheme="minorHAnsi" w:hAnsiTheme="minorHAnsi"/>
        </w:rPr>
        <w:t>Zajištění financování závazků kraje vyplývajících z uzavřených smluvních a jim podobných vztahů včetně závazků splátek jistin přijatých bankovních úvěrů a z nich plynoucích úroků.</w:t>
      </w:r>
    </w:p>
    <w:p w:rsidR="00841657" w:rsidRPr="000E17A8" w:rsidRDefault="00841657" w:rsidP="000E17A8">
      <w:pPr>
        <w:numPr>
          <w:ilvl w:val="0"/>
          <w:numId w:val="5"/>
        </w:numPr>
        <w:spacing w:line="240" w:lineRule="auto"/>
        <w:jc w:val="both"/>
        <w:rPr>
          <w:rFonts w:asciiTheme="minorHAnsi" w:hAnsiTheme="minorHAnsi"/>
        </w:rPr>
      </w:pPr>
      <w:r w:rsidRPr="000E17A8">
        <w:rPr>
          <w:rFonts w:asciiTheme="minorHAnsi" w:hAnsiTheme="minorHAnsi"/>
        </w:rPr>
        <w:t>Investiční rozvoj s využitím vlastních zdrojů kraje a úvěrových zdrojů Evropské investiční banky (EIB).</w:t>
      </w:r>
    </w:p>
    <w:p w:rsidR="00841657" w:rsidRPr="000E17A8" w:rsidRDefault="00841657" w:rsidP="000E17A8">
      <w:pPr>
        <w:numPr>
          <w:ilvl w:val="0"/>
          <w:numId w:val="5"/>
        </w:numPr>
        <w:spacing w:line="240" w:lineRule="auto"/>
        <w:jc w:val="both"/>
        <w:rPr>
          <w:rFonts w:asciiTheme="minorHAnsi" w:hAnsiTheme="minorHAnsi"/>
        </w:rPr>
      </w:pPr>
      <w:r w:rsidRPr="000E17A8">
        <w:rPr>
          <w:rFonts w:asciiTheme="minorHAnsi" w:hAnsiTheme="minorHAnsi"/>
        </w:rPr>
        <w:t xml:space="preserve">Maximální využití finančních prostředků z Evropské unie a dalších finančních mechanizmů v návaznosti na průběh aktuálního programového období. Pro financování budou aktivně využity prostředky minulých let, vlastní zdroje kraje a úvěrové zdroje od České spořitelny, Komerční banky a Evropské investiční banky (EIB). V souvislosti se zavedením produktu cash </w:t>
      </w:r>
      <w:proofErr w:type="spellStart"/>
      <w:r w:rsidRPr="000E17A8">
        <w:rPr>
          <w:rFonts w:asciiTheme="minorHAnsi" w:hAnsiTheme="minorHAnsi"/>
        </w:rPr>
        <w:t>pooling</w:t>
      </w:r>
      <w:proofErr w:type="spellEnd"/>
      <w:r w:rsidRPr="000E17A8">
        <w:rPr>
          <w:rFonts w:asciiTheme="minorHAnsi" w:hAnsiTheme="minorHAnsi"/>
        </w:rPr>
        <w:t xml:space="preserve"> jsou zajištěny i další zdroje financování projektů z Evropské unie a národních zdrojů. V rámci cash </w:t>
      </w:r>
      <w:proofErr w:type="spellStart"/>
      <w:r w:rsidRPr="000E17A8">
        <w:rPr>
          <w:rFonts w:asciiTheme="minorHAnsi" w:hAnsiTheme="minorHAnsi"/>
        </w:rPr>
        <w:t>poolingu</w:t>
      </w:r>
      <w:proofErr w:type="spellEnd"/>
      <w:r w:rsidRPr="000E17A8">
        <w:rPr>
          <w:rFonts w:asciiTheme="minorHAnsi" w:hAnsiTheme="minorHAnsi"/>
        </w:rPr>
        <w:t xml:space="preserve"> je možné, až do výše kreditních zůstatků na zapojených účtech, čerpat úvěrové zdroje fakticky bezúročně a to prostřednictvím kontokorentních úvěrů. Předpokládaný úvěrový rámec bude přednostně použit na finanční krytí předfinancování projektů spolufinancovaných z Evropské unie a národních zdrojů.</w:t>
      </w:r>
    </w:p>
    <w:p w:rsidR="00841657" w:rsidRPr="000E17A8" w:rsidRDefault="00841657" w:rsidP="000E17A8">
      <w:pPr>
        <w:numPr>
          <w:ilvl w:val="0"/>
          <w:numId w:val="5"/>
        </w:numPr>
        <w:spacing w:line="240" w:lineRule="auto"/>
        <w:jc w:val="both"/>
        <w:rPr>
          <w:rFonts w:asciiTheme="minorHAnsi" w:hAnsiTheme="minorHAnsi"/>
        </w:rPr>
      </w:pPr>
      <w:r w:rsidRPr="000E17A8">
        <w:rPr>
          <w:rFonts w:asciiTheme="minorHAnsi" w:hAnsiTheme="minorHAnsi"/>
        </w:rPr>
        <w:t>Plánování tvorby specifických rezerv/účelových prostředků pro krytí předpokládaných výdajů, které pravděpodobně nastanou, avšak jejich přesná výše není dopředu známa. Jedná se o zajištění finančního krytí</w:t>
      </w:r>
      <w:r w:rsidRPr="000E17A8">
        <w:rPr>
          <w:rFonts w:asciiTheme="minorHAnsi" w:hAnsiTheme="minorHAnsi"/>
          <w:szCs w:val="22"/>
        </w:rPr>
        <w:t xml:space="preserve"> možného navýšení cen energií, </w:t>
      </w:r>
      <w:r w:rsidRPr="000E17A8">
        <w:rPr>
          <w:rFonts w:asciiTheme="minorHAnsi" w:hAnsiTheme="minorHAnsi"/>
        </w:rPr>
        <w:t xml:space="preserve">očekávaného </w:t>
      </w:r>
      <w:r w:rsidRPr="000E17A8">
        <w:rPr>
          <w:rFonts w:asciiTheme="minorHAnsi" w:hAnsiTheme="minorHAnsi"/>
          <w:szCs w:val="22"/>
        </w:rPr>
        <w:t xml:space="preserve">nárůstu mezd řidičů veřejné dopravy z důvodu navýšení minimální mzdy, růstu mezd ve veřejné správě na základě nařízení vlády, rezervu na propad tržeb dopravcům a další rezervy na výdaje dopravní obslužnosti. Tyto prostředky budou zajištěny </w:t>
      </w:r>
      <w:r w:rsidRPr="000E17A8">
        <w:rPr>
          <w:rFonts w:asciiTheme="minorHAnsi" w:hAnsiTheme="minorHAnsi"/>
        </w:rPr>
        <w:t>z vlastních zdrojů.</w:t>
      </w:r>
    </w:p>
    <w:p w:rsidR="00841657" w:rsidRPr="000E17A8" w:rsidRDefault="00841657" w:rsidP="000E17A8">
      <w:pPr>
        <w:numPr>
          <w:ilvl w:val="0"/>
          <w:numId w:val="5"/>
        </w:numPr>
        <w:spacing w:line="240" w:lineRule="auto"/>
        <w:jc w:val="both"/>
        <w:rPr>
          <w:rFonts w:asciiTheme="minorHAnsi" w:hAnsiTheme="minorHAnsi"/>
        </w:rPr>
      </w:pPr>
      <w:r w:rsidRPr="000E17A8">
        <w:rPr>
          <w:rFonts w:asciiTheme="minorHAnsi" w:hAnsiTheme="minorHAnsi"/>
        </w:rPr>
        <w:t>Reflektuje předpokládaný hospodářský růst a oživení ekonomiky. Daňové příjmy kraje rozpoč</w:t>
      </w:r>
      <w:r w:rsidR="00DD24DB">
        <w:rPr>
          <w:rFonts w:asciiTheme="minorHAnsi" w:hAnsiTheme="minorHAnsi"/>
        </w:rPr>
        <w:t>e</w:t>
      </w:r>
      <w:r w:rsidRPr="000E17A8">
        <w:rPr>
          <w:rFonts w:asciiTheme="minorHAnsi" w:hAnsiTheme="minorHAnsi"/>
        </w:rPr>
        <w:t>t pro příští rok předpokládá vyšší o zhruba 11,0 % oproti upravenému rozpočtu 2021.</w:t>
      </w:r>
    </w:p>
    <w:p w:rsidR="00841657" w:rsidRPr="000E17A8" w:rsidRDefault="00841657" w:rsidP="000E17A8">
      <w:pPr>
        <w:spacing w:line="240" w:lineRule="auto"/>
        <w:ind w:left="360"/>
        <w:jc w:val="both"/>
        <w:rPr>
          <w:rFonts w:asciiTheme="minorHAnsi" w:hAnsiTheme="minorHAnsi"/>
        </w:rPr>
      </w:pPr>
    </w:p>
    <w:p w:rsidR="00841657" w:rsidRPr="000E17A8" w:rsidRDefault="00841657" w:rsidP="000E17A8">
      <w:pPr>
        <w:spacing w:line="240" w:lineRule="auto"/>
        <w:jc w:val="both"/>
        <w:rPr>
          <w:rFonts w:asciiTheme="minorHAnsi" w:hAnsiTheme="minorHAnsi"/>
        </w:rPr>
      </w:pPr>
      <w:r w:rsidRPr="000E17A8">
        <w:rPr>
          <w:rFonts w:asciiTheme="minorHAnsi" w:hAnsiTheme="minorHAnsi"/>
        </w:rPr>
        <w:t xml:space="preserve">V souladu se zákonem č. 23/2017 Sb., o pravidlech rozpočtové odpovědnosti hospodaří Středočeský kraj v zájmu zdravých a udržitelných financí tak, aby výše jeho dluhu nepřekročila k rozvahovému dni 60 % průměru jeho příjmů za poslední 4 rozpočtové roky. </w:t>
      </w:r>
      <w:r w:rsidR="00DD24DB">
        <w:rPr>
          <w:rFonts w:asciiTheme="minorHAnsi" w:hAnsiTheme="minorHAnsi"/>
        </w:rPr>
        <w:t>R</w:t>
      </w:r>
      <w:r w:rsidRPr="000E17A8">
        <w:rPr>
          <w:rFonts w:asciiTheme="minorHAnsi" w:hAnsiTheme="minorHAnsi"/>
        </w:rPr>
        <w:t>ozpoč</w:t>
      </w:r>
      <w:r w:rsidR="00DD24DB">
        <w:rPr>
          <w:rFonts w:asciiTheme="minorHAnsi" w:hAnsiTheme="minorHAnsi"/>
        </w:rPr>
        <w:t>e</w:t>
      </w:r>
      <w:r w:rsidRPr="000E17A8">
        <w:rPr>
          <w:rFonts w:asciiTheme="minorHAnsi" w:hAnsiTheme="minorHAnsi"/>
        </w:rPr>
        <w:t xml:space="preserve">t na rok 2022 je sestaven tak, že výše tohoto ukazatele činí 19,7 %. </w:t>
      </w:r>
    </w:p>
    <w:p w:rsidR="00841657" w:rsidRPr="000E17A8" w:rsidRDefault="00841657" w:rsidP="000E17A8">
      <w:pPr>
        <w:spacing w:line="240" w:lineRule="auto"/>
        <w:jc w:val="both"/>
        <w:rPr>
          <w:rFonts w:asciiTheme="minorHAnsi" w:hAnsiTheme="minorHAnsi"/>
        </w:rPr>
      </w:pPr>
    </w:p>
    <w:p w:rsidR="00841657" w:rsidRPr="000E17A8" w:rsidRDefault="00DD24DB" w:rsidP="000E17A8">
      <w:pPr>
        <w:spacing w:line="240" w:lineRule="auto"/>
        <w:jc w:val="both"/>
        <w:rPr>
          <w:rFonts w:asciiTheme="minorHAnsi" w:hAnsiTheme="minorHAnsi"/>
        </w:rPr>
      </w:pPr>
      <w:r>
        <w:rPr>
          <w:rFonts w:asciiTheme="minorHAnsi" w:hAnsiTheme="minorHAnsi"/>
        </w:rPr>
        <w:t>R</w:t>
      </w:r>
      <w:r w:rsidR="00841657" w:rsidRPr="000E17A8">
        <w:rPr>
          <w:rFonts w:asciiTheme="minorHAnsi" w:hAnsiTheme="minorHAnsi"/>
        </w:rPr>
        <w:t>ozpoč</w:t>
      </w:r>
      <w:r>
        <w:rPr>
          <w:rFonts w:asciiTheme="minorHAnsi" w:hAnsiTheme="minorHAnsi"/>
        </w:rPr>
        <w:t>e</w:t>
      </w:r>
      <w:r w:rsidR="00841657" w:rsidRPr="000E17A8">
        <w:rPr>
          <w:rFonts w:asciiTheme="minorHAnsi" w:hAnsiTheme="minorHAnsi"/>
        </w:rPr>
        <w:t xml:space="preserve">t Středočeského kraje pro rok 2022 je sestaven </w:t>
      </w:r>
      <w:r w:rsidR="00841657" w:rsidRPr="000E17A8">
        <w:rPr>
          <w:rFonts w:asciiTheme="minorHAnsi" w:hAnsiTheme="minorHAnsi"/>
          <w:b/>
          <w:bCs/>
        </w:rPr>
        <w:t>ve výši příjmů 35 720 907,20 tis</w:t>
      </w:r>
      <w:r w:rsidR="00841657" w:rsidRPr="000E17A8">
        <w:rPr>
          <w:rFonts w:asciiTheme="minorHAnsi" w:hAnsiTheme="minorHAnsi"/>
        </w:rPr>
        <w:t xml:space="preserve">. </w:t>
      </w:r>
      <w:r w:rsidR="00841657" w:rsidRPr="000E17A8">
        <w:rPr>
          <w:rFonts w:asciiTheme="minorHAnsi" w:hAnsiTheme="minorHAnsi"/>
          <w:b/>
          <w:bCs/>
        </w:rPr>
        <w:t>Kč</w:t>
      </w:r>
      <w:r w:rsidR="00841657" w:rsidRPr="000E17A8">
        <w:rPr>
          <w:rFonts w:asciiTheme="minorHAnsi" w:hAnsiTheme="minorHAnsi"/>
        </w:rPr>
        <w:t xml:space="preserve"> a ve </w:t>
      </w:r>
      <w:r w:rsidR="00841657" w:rsidRPr="000E17A8">
        <w:rPr>
          <w:rFonts w:asciiTheme="minorHAnsi" w:hAnsiTheme="minorHAnsi"/>
          <w:b/>
          <w:bCs/>
        </w:rPr>
        <w:t>výši výdajů 40 207 008,20 tis. Kč</w:t>
      </w:r>
      <w:r w:rsidR="00841657" w:rsidRPr="000E17A8">
        <w:rPr>
          <w:rFonts w:asciiTheme="minorHAnsi" w:hAnsiTheme="minorHAnsi"/>
        </w:rPr>
        <w:t xml:space="preserve">. Rozdíl mezi výdaji a příjmy je pokryt financováním, a to zapojením </w:t>
      </w:r>
      <w:r w:rsidR="00841657" w:rsidRPr="000E17A8">
        <w:rPr>
          <w:rFonts w:asciiTheme="minorHAnsi" w:hAnsiTheme="minorHAnsi"/>
        </w:rPr>
        <w:lastRenderedPageBreak/>
        <w:t xml:space="preserve">bankovních úvěrů ve výši 5 293 728,00 tis. Kč, zapojením zůstatku hospodaření z minulého roku ve výši 1 510 000,00 tis. Kč a ve financování snížen o splátky přijatých úvěrů kraje ve výši 2 317 627,00 tis. Kč. Po zapojení financování je zdrojová a výdajová část ve výši </w:t>
      </w:r>
      <w:r w:rsidR="00841657" w:rsidRPr="000E17A8">
        <w:rPr>
          <w:rFonts w:asciiTheme="minorHAnsi" w:hAnsiTheme="minorHAnsi"/>
          <w:b/>
          <w:bCs/>
        </w:rPr>
        <w:t>42 524 635,20 tis. Kč</w:t>
      </w:r>
      <w:r w:rsidR="00841657" w:rsidRPr="000E17A8">
        <w:rPr>
          <w:rFonts w:asciiTheme="minorHAnsi" w:hAnsiTheme="minorHAnsi"/>
        </w:rPr>
        <w:t xml:space="preserve">. </w:t>
      </w:r>
    </w:p>
    <w:p w:rsidR="00841657" w:rsidRPr="000E17A8" w:rsidRDefault="00841657" w:rsidP="000E17A8">
      <w:pPr>
        <w:spacing w:line="240" w:lineRule="auto"/>
        <w:jc w:val="both"/>
        <w:rPr>
          <w:rFonts w:asciiTheme="minorHAnsi" w:hAnsiTheme="minorHAnsi"/>
        </w:rPr>
      </w:pPr>
    </w:p>
    <w:p w:rsidR="00841657" w:rsidRPr="000E17A8" w:rsidRDefault="00841657" w:rsidP="000E17A8">
      <w:pPr>
        <w:spacing w:line="240" w:lineRule="auto"/>
        <w:jc w:val="both"/>
        <w:rPr>
          <w:rFonts w:asciiTheme="minorHAnsi" w:hAnsiTheme="minorHAnsi"/>
          <w:b/>
          <w:bCs/>
        </w:rPr>
      </w:pPr>
      <w:r w:rsidRPr="000E17A8">
        <w:rPr>
          <w:rFonts w:asciiTheme="minorHAnsi" w:hAnsiTheme="minorHAnsi"/>
        </w:rPr>
        <w:t>Běžné výdaje rozpočtu jsou kryty daňovými příjmy. Výdaje spojené s financováním projektů EU/EHP s převážně investičním charakterem a další investiční výdaje jsou kryty na příjmové straně rozpočtu převážně zapojením vlastních zdrojů a úvěrových zdrojů ve financování, čímž je rozpočet deficitní.</w:t>
      </w:r>
    </w:p>
    <w:p w:rsidR="00841657" w:rsidRPr="000E17A8" w:rsidRDefault="00841657" w:rsidP="000E17A8">
      <w:pPr>
        <w:spacing w:line="240" w:lineRule="auto"/>
        <w:jc w:val="both"/>
        <w:rPr>
          <w:rFonts w:asciiTheme="minorHAnsi" w:hAnsiTheme="minorHAnsi"/>
        </w:rPr>
      </w:pPr>
    </w:p>
    <w:p w:rsidR="00841657" w:rsidRPr="000E17A8" w:rsidRDefault="00841657" w:rsidP="000E17A8">
      <w:pPr>
        <w:spacing w:line="240" w:lineRule="auto"/>
        <w:jc w:val="both"/>
        <w:rPr>
          <w:rFonts w:asciiTheme="minorHAnsi" w:hAnsiTheme="minorHAnsi"/>
        </w:rPr>
      </w:pPr>
      <w:r w:rsidRPr="000E17A8">
        <w:rPr>
          <w:rFonts w:asciiTheme="minorHAnsi" w:hAnsiTheme="minorHAnsi"/>
          <w:b/>
          <w:bCs/>
        </w:rPr>
        <w:t>Zdroje</w:t>
      </w:r>
      <w:r w:rsidRPr="000E17A8">
        <w:rPr>
          <w:rFonts w:asciiTheme="minorHAnsi" w:hAnsiTheme="minorHAnsi"/>
        </w:rPr>
        <w:t xml:space="preserve"> kraje jsou tvořeny z vlastních příjmů, z účelových přijatých transferů a z financování – zapojení zůstatku hospodaření z minulého roku a čerpání přijatého úvěru od České spořitelny, a.s. </w:t>
      </w:r>
      <w:proofErr w:type="spellStart"/>
      <w:r w:rsidRPr="000E17A8">
        <w:rPr>
          <w:rFonts w:asciiTheme="minorHAnsi" w:hAnsiTheme="minorHAnsi"/>
        </w:rPr>
        <w:t>zesmluvněného</w:t>
      </w:r>
      <w:proofErr w:type="spellEnd"/>
      <w:r w:rsidRPr="000E17A8">
        <w:rPr>
          <w:rFonts w:asciiTheme="minorHAnsi" w:hAnsiTheme="minorHAnsi"/>
        </w:rPr>
        <w:t xml:space="preserve"> v roce 2021, přijatého úvěru od Komerční banky, a.s. </w:t>
      </w:r>
      <w:proofErr w:type="spellStart"/>
      <w:r w:rsidRPr="000E17A8">
        <w:rPr>
          <w:rFonts w:asciiTheme="minorHAnsi" w:hAnsiTheme="minorHAnsi"/>
        </w:rPr>
        <w:t>zesmluvněného</w:t>
      </w:r>
      <w:proofErr w:type="spellEnd"/>
      <w:r w:rsidRPr="000E17A8">
        <w:rPr>
          <w:rFonts w:asciiTheme="minorHAnsi" w:hAnsiTheme="minorHAnsi"/>
        </w:rPr>
        <w:t xml:space="preserve"> v roce 2021 a přijatého úvěru od Evropské investiční banky </w:t>
      </w:r>
      <w:proofErr w:type="spellStart"/>
      <w:r w:rsidRPr="000E17A8">
        <w:rPr>
          <w:rFonts w:asciiTheme="minorHAnsi" w:hAnsiTheme="minorHAnsi"/>
        </w:rPr>
        <w:t>zesmluvněného</w:t>
      </w:r>
      <w:proofErr w:type="spellEnd"/>
      <w:r w:rsidRPr="000E17A8">
        <w:rPr>
          <w:rFonts w:asciiTheme="minorHAnsi" w:hAnsiTheme="minorHAnsi"/>
        </w:rPr>
        <w:t xml:space="preserve"> v roce 2020 a 2021.</w:t>
      </w:r>
    </w:p>
    <w:p w:rsidR="00841657" w:rsidRPr="000E17A8" w:rsidRDefault="00841657" w:rsidP="000E17A8">
      <w:pPr>
        <w:spacing w:line="240" w:lineRule="auto"/>
        <w:jc w:val="both"/>
        <w:rPr>
          <w:rFonts w:asciiTheme="minorHAnsi" w:hAnsiTheme="minorHAnsi"/>
        </w:rPr>
      </w:pPr>
    </w:p>
    <w:p w:rsidR="00841657" w:rsidRPr="000E17A8" w:rsidRDefault="00841657" w:rsidP="000E17A8">
      <w:pPr>
        <w:spacing w:line="240" w:lineRule="auto"/>
        <w:jc w:val="both"/>
        <w:rPr>
          <w:rFonts w:asciiTheme="minorHAnsi" w:hAnsiTheme="minorHAnsi"/>
        </w:rPr>
      </w:pPr>
      <w:r w:rsidRPr="000E17A8">
        <w:rPr>
          <w:rFonts w:asciiTheme="minorHAnsi" w:hAnsiTheme="minorHAnsi"/>
        </w:rPr>
        <w:t>Vlastní příjmy kraje jsou:</w:t>
      </w:r>
    </w:p>
    <w:p w:rsidR="00841657" w:rsidRPr="000E17A8" w:rsidRDefault="00841657" w:rsidP="000E17A8">
      <w:pPr>
        <w:numPr>
          <w:ilvl w:val="0"/>
          <w:numId w:val="5"/>
        </w:numPr>
        <w:spacing w:line="240" w:lineRule="auto"/>
        <w:jc w:val="both"/>
        <w:rPr>
          <w:rFonts w:asciiTheme="minorHAnsi" w:hAnsiTheme="minorHAnsi"/>
          <w:b/>
        </w:rPr>
      </w:pPr>
      <w:r w:rsidRPr="000E17A8">
        <w:rPr>
          <w:rFonts w:asciiTheme="minorHAnsi" w:hAnsiTheme="minorHAnsi"/>
          <w:b/>
          <w:bCs/>
        </w:rPr>
        <w:t xml:space="preserve"> daňové příjmy – 10 963 500,00 tis. Kč</w:t>
      </w:r>
      <w:r w:rsidRPr="000E17A8">
        <w:rPr>
          <w:rFonts w:asciiTheme="minorHAnsi" w:hAnsiTheme="minorHAnsi"/>
          <w:b/>
        </w:rPr>
        <w:t>, což činí 30,7 % z celkových příjmů</w:t>
      </w:r>
    </w:p>
    <w:p w:rsidR="00841657" w:rsidRPr="000E17A8" w:rsidRDefault="00841657" w:rsidP="000E17A8">
      <w:pPr>
        <w:spacing w:line="240" w:lineRule="auto"/>
        <w:jc w:val="both"/>
        <w:rPr>
          <w:rFonts w:asciiTheme="minorHAnsi" w:hAnsiTheme="minorHAnsi"/>
        </w:rPr>
      </w:pPr>
      <w:r w:rsidRPr="000E17A8">
        <w:rPr>
          <w:rFonts w:asciiTheme="minorHAnsi" w:hAnsiTheme="minorHAnsi"/>
        </w:rPr>
        <w:t>Tvoří převážnou část vlastních příjmů a jsou tvořeny podíly na daních, správními poplatky, poplatky za znečišťování ovzduší a poplatky za odběr podzemních vod.</w:t>
      </w:r>
    </w:p>
    <w:p w:rsidR="00841657" w:rsidRPr="000E17A8" w:rsidRDefault="00841657" w:rsidP="000E17A8">
      <w:pPr>
        <w:spacing w:line="240" w:lineRule="auto"/>
        <w:jc w:val="both"/>
        <w:rPr>
          <w:rFonts w:asciiTheme="minorHAnsi" w:hAnsiTheme="minorHAnsi"/>
        </w:rPr>
      </w:pPr>
      <w:r w:rsidRPr="000E17A8">
        <w:rPr>
          <w:rFonts w:asciiTheme="minorHAnsi" w:hAnsiTheme="minorHAnsi"/>
          <w:b/>
        </w:rPr>
        <w:t>Podíly na daních</w:t>
      </w:r>
      <w:r w:rsidRPr="000E17A8">
        <w:rPr>
          <w:rFonts w:asciiTheme="minorHAnsi" w:hAnsiTheme="minorHAnsi"/>
        </w:rPr>
        <w:t xml:space="preserve"> jsou poskytovány krajům dle § 3 zákona č. 243/2000 Sb., o rozpočtovém určení daní, ve znění pozdějších předpisů, který stanoví podíl jednotlivých krajů na výnosu sdílených daní (daň z příjmů fyzických osob, daň z příjmů právnických osob, DPH). Vzhledem k naplňování daňových příjmů v roce 2021, daňové predikci Ministerstva financí ČR a předpokládanému vývoji ekonomické situace jsou podíly na daních pro Středočeský kraj pro rok 2022 stanoveny ve výši 10 900 000,00 tis. Kč, tzn. zvýšeny o cca 26,7 % oproti schválenému a o cca 11,0 % oproti upravenému rozpočtu 2021. Toto navýšení bylo zvoleno z důvodu očekávání ekonomického růstu a růstu cen. Rozpočet kraje počítá s daňovými příjmy na úrovni vyplývající z predikce Ministerstva financí ČR. Dle predikce k vývoji daňových příjmů vydané Ministerstvem financí ČR v srpnu 2021 jsou v roce 2022 očekávány pro Středočeský kraj daňové příjmy ve výši 10,9 mld. Kč. V případě ještě příznivějšího vývoje ekonomiky a plnění daňových příjmů nad rámec očekávaného plánu, budou tyto prostředky zapojeny a použity na krytí dalších požadavků rozpočtu prostřednictvím rozpočtového opatření schváleného zastupitelstvem kraje.</w:t>
      </w:r>
    </w:p>
    <w:p w:rsidR="00841657" w:rsidRPr="000E17A8" w:rsidRDefault="00841657" w:rsidP="000E17A8">
      <w:pPr>
        <w:spacing w:line="240" w:lineRule="auto"/>
        <w:jc w:val="both"/>
        <w:rPr>
          <w:rFonts w:asciiTheme="minorHAnsi" w:hAnsiTheme="minorHAnsi"/>
        </w:rPr>
      </w:pPr>
      <w:r w:rsidRPr="000E17A8">
        <w:rPr>
          <w:rFonts w:asciiTheme="minorHAnsi" w:hAnsiTheme="minorHAnsi"/>
        </w:rPr>
        <w:t xml:space="preserve">Výnosy </w:t>
      </w:r>
      <w:r w:rsidRPr="000E17A8">
        <w:rPr>
          <w:rFonts w:asciiTheme="minorHAnsi" w:hAnsiTheme="minorHAnsi"/>
          <w:b/>
        </w:rPr>
        <w:t>inkasa správních poplatků</w:t>
      </w:r>
      <w:r w:rsidRPr="000E17A8">
        <w:rPr>
          <w:rFonts w:asciiTheme="minorHAnsi" w:hAnsiTheme="minorHAnsi"/>
        </w:rPr>
        <w:t xml:space="preserve"> ve smyslu platného znění zákona o správních poplatcích. Jejich předpokládaná výše je v rozpočtu 2022 stejná jako v roce 2021 (2 500,00 tis. Kč).</w:t>
      </w:r>
    </w:p>
    <w:p w:rsidR="00841657" w:rsidRPr="000E17A8" w:rsidRDefault="00841657" w:rsidP="000E17A8">
      <w:pPr>
        <w:spacing w:line="240" w:lineRule="auto"/>
        <w:jc w:val="both"/>
        <w:rPr>
          <w:rFonts w:asciiTheme="minorHAnsi" w:hAnsiTheme="minorHAnsi"/>
          <w:szCs w:val="22"/>
        </w:rPr>
      </w:pPr>
      <w:r w:rsidRPr="000E17A8">
        <w:rPr>
          <w:rFonts w:asciiTheme="minorHAnsi" w:hAnsiTheme="minorHAnsi"/>
          <w:b/>
          <w:szCs w:val="22"/>
        </w:rPr>
        <w:t>Poplatky za znečišťování ovzduší</w:t>
      </w:r>
      <w:r w:rsidRPr="000E17A8">
        <w:rPr>
          <w:rFonts w:asciiTheme="minorHAnsi" w:hAnsiTheme="minorHAnsi"/>
          <w:szCs w:val="22"/>
        </w:rPr>
        <w:t>. Příjem poplatků vyplývá ze zákona č. 201/2012 Sb., o ochraně ovzduší ve znění pozdějších předpisů.  Příjmem kraje je 25% výnosu z poplatků za znečišťování ovzduší, na jehož území se nachází stacionární zdroj. Jejich předpokládaná výše v rozpočtu 2022 je 11 000,00 tis. Kč. Podle zákona může být výnos z poplatků použit jen na financování opatření v oblasti ochrany životního prostředí. Tyto příjmy jsou ve výdajích zapojeny do kapitoly 10 – Životní prostředí a zemědělství.</w:t>
      </w:r>
    </w:p>
    <w:p w:rsidR="00841657" w:rsidRPr="000E17A8" w:rsidRDefault="00841657" w:rsidP="000E17A8">
      <w:pPr>
        <w:spacing w:line="240" w:lineRule="auto"/>
        <w:jc w:val="both"/>
        <w:rPr>
          <w:rFonts w:asciiTheme="minorHAnsi" w:hAnsiTheme="minorHAnsi"/>
        </w:rPr>
      </w:pPr>
      <w:r w:rsidRPr="000E17A8">
        <w:rPr>
          <w:rFonts w:asciiTheme="minorHAnsi" w:hAnsiTheme="minorHAnsi"/>
          <w:b/>
        </w:rPr>
        <w:t>Poplatky za odebrané množství podzemní vody</w:t>
      </w:r>
      <w:r w:rsidRPr="000E17A8">
        <w:rPr>
          <w:rFonts w:asciiTheme="minorHAnsi" w:hAnsiTheme="minorHAnsi"/>
        </w:rPr>
        <w:t>. Dle zákona č. 254/2001 Sb., o vodách a o změně některých zákonů (vodní zákon), ve znění pozdějších předpisů, je část poplatků za odběr podzemní vody příjmem rozpočtu kraje, na jehož území se odběr uskutečňuje a tyto příjmy jsou účelové a musí být použity pouze na podporu výstavby a obnovy vodohospodářské infrastruktury a na doplňování zvláštního účtu ročně do výše 10 mil. Kč (Havarijní fond pro ochranu jakosti vod SK). Tyto příjmy schváleného rozpočtu ve výši 50 000,00 tis. Kč jsou ve výdajích zapojeny do Středočeského Infrastrukturního fondu - oblast životní prostředí.</w:t>
      </w:r>
    </w:p>
    <w:p w:rsidR="00841657" w:rsidRPr="000E17A8" w:rsidRDefault="00841657" w:rsidP="000E17A8">
      <w:pPr>
        <w:numPr>
          <w:ilvl w:val="0"/>
          <w:numId w:val="5"/>
        </w:numPr>
        <w:spacing w:line="240" w:lineRule="auto"/>
        <w:jc w:val="both"/>
        <w:rPr>
          <w:rFonts w:asciiTheme="minorHAnsi" w:hAnsiTheme="minorHAnsi"/>
          <w:b/>
          <w:bCs/>
        </w:rPr>
      </w:pPr>
      <w:r w:rsidRPr="000E17A8">
        <w:rPr>
          <w:rFonts w:asciiTheme="minorHAnsi" w:hAnsiTheme="minorHAnsi"/>
          <w:b/>
          <w:bCs/>
        </w:rPr>
        <w:t>nedaňové příjmy – 1 314 103,00 tis. Kč, což činí 3,7 % z celkových příjmů</w:t>
      </w:r>
    </w:p>
    <w:p w:rsidR="00841657" w:rsidRPr="000E17A8" w:rsidRDefault="00841657" w:rsidP="000E17A8">
      <w:pPr>
        <w:spacing w:line="240" w:lineRule="auto"/>
        <w:jc w:val="both"/>
        <w:rPr>
          <w:rFonts w:asciiTheme="minorHAnsi" w:hAnsiTheme="minorHAnsi"/>
        </w:rPr>
      </w:pPr>
      <w:r w:rsidRPr="000E17A8">
        <w:rPr>
          <w:rFonts w:asciiTheme="minorHAnsi" w:hAnsiTheme="minorHAnsi"/>
        </w:rPr>
        <w:t xml:space="preserve">Jsou tvořeny příjmy z úroků z depozit na bankovních účtech, vratkami z předfinancování projektů EU/EHP a národních zdrojů, přijatými sankčními platbami a splátkami návratných finančních výpomocí OSVČ. Oproti schválenému rozpočtu roku 2021 byly nedaňové příjmy sníženy o 35,1 % (o 710 429,00 tis. Kč). </w:t>
      </w:r>
    </w:p>
    <w:p w:rsidR="00841657" w:rsidRPr="000E17A8" w:rsidRDefault="00841657" w:rsidP="000E17A8">
      <w:pPr>
        <w:spacing w:line="240" w:lineRule="auto"/>
        <w:jc w:val="both"/>
        <w:rPr>
          <w:rFonts w:asciiTheme="minorHAnsi" w:hAnsiTheme="minorHAnsi"/>
          <w:szCs w:val="22"/>
        </w:rPr>
      </w:pPr>
      <w:r w:rsidRPr="000E17A8">
        <w:rPr>
          <w:rFonts w:asciiTheme="minorHAnsi" w:hAnsiTheme="minorHAnsi"/>
        </w:rPr>
        <w:t>V rozpočtu nedaňových příjmů oproti schválenému rozpočtu 2021 došlo zejména ke </w:t>
      </w:r>
      <w:r w:rsidRPr="000E17A8">
        <w:rPr>
          <w:rFonts w:asciiTheme="minorHAnsi" w:hAnsiTheme="minorHAnsi"/>
          <w:b/>
        </w:rPr>
        <w:t>snížení vratek</w:t>
      </w:r>
      <w:r w:rsidRPr="000E17A8">
        <w:rPr>
          <w:rFonts w:asciiTheme="minorHAnsi" w:hAnsiTheme="minorHAnsi"/>
        </w:rPr>
        <w:t xml:space="preserve"> </w:t>
      </w:r>
      <w:r w:rsidRPr="000E17A8">
        <w:rPr>
          <w:rFonts w:asciiTheme="minorHAnsi" w:hAnsiTheme="minorHAnsi"/>
          <w:b/>
        </w:rPr>
        <w:t>finančních prostředků z předfinancování již realizovaných projektů spolufinancovaných z EU/EHP</w:t>
      </w:r>
      <w:r w:rsidRPr="000E17A8">
        <w:rPr>
          <w:rFonts w:asciiTheme="minorHAnsi" w:hAnsiTheme="minorHAnsi"/>
        </w:rPr>
        <w:t xml:space="preserve">. </w:t>
      </w:r>
      <w:r w:rsidRPr="000E17A8">
        <w:rPr>
          <w:rFonts w:asciiTheme="minorHAnsi" w:hAnsiTheme="minorHAnsi"/>
        </w:rPr>
        <w:lastRenderedPageBreak/>
        <w:t xml:space="preserve">Příjmy z vratek jsou tvořeny proplacením evropského podílu v rámci projektů administrovaných Krajským úřadem Středočeského kraje ze strany řídících orgánů i vratkami prostředků půjčených zřízeným příspěvkovým organizacím na předfinancování projektů, případně akciovým společnostem založeným Středočeským krajem. Snížení objemu je předpokládáno na základě schváleného plánu financování projektů EU/EHP a projektů financovaných z národních zdrojů a došlo k němu díky zpoždění realizace některých projektů. Tyto vratky jsou </w:t>
      </w:r>
      <w:r w:rsidRPr="000E17A8">
        <w:rPr>
          <w:rFonts w:asciiTheme="minorHAnsi" w:hAnsiTheme="minorHAnsi"/>
          <w:szCs w:val="22"/>
        </w:rPr>
        <w:t xml:space="preserve">vždy alokovány zpět do prostředků na financování projektů EU/EHP a národních zdrojů. </w:t>
      </w:r>
    </w:p>
    <w:p w:rsidR="00841657" w:rsidRPr="000E17A8" w:rsidRDefault="00841657" w:rsidP="000E17A8">
      <w:pPr>
        <w:spacing w:line="240" w:lineRule="auto"/>
        <w:jc w:val="both"/>
        <w:rPr>
          <w:rFonts w:asciiTheme="minorHAnsi" w:hAnsiTheme="minorHAnsi"/>
          <w:szCs w:val="22"/>
        </w:rPr>
      </w:pPr>
      <w:r w:rsidRPr="000E17A8">
        <w:rPr>
          <w:rFonts w:asciiTheme="minorHAnsi" w:hAnsiTheme="minorHAnsi"/>
          <w:szCs w:val="22"/>
        </w:rPr>
        <w:t xml:space="preserve">V rámci nedaňových příjmů jsou uvedeny </w:t>
      </w:r>
      <w:r w:rsidRPr="000E17A8">
        <w:rPr>
          <w:rFonts w:asciiTheme="minorHAnsi" w:hAnsiTheme="minorHAnsi"/>
          <w:b/>
          <w:szCs w:val="22"/>
        </w:rPr>
        <w:t xml:space="preserve">splátky návratných finančních výpomocí OSVČ v souvislosti s pandemií </w:t>
      </w:r>
      <w:proofErr w:type="gramStart"/>
      <w:r w:rsidRPr="000E17A8">
        <w:rPr>
          <w:rFonts w:asciiTheme="minorHAnsi" w:hAnsiTheme="minorHAnsi"/>
          <w:b/>
          <w:szCs w:val="22"/>
        </w:rPr>
        <w:t>COVID</w:t>
      </w:r>
      <w:proofErr w:type="gramEnd"/>
      <w:r w:rsidRPr="000E17A8">
        <w:rPr>
          <w:rFonts w:asciiTheme="minorHAnsi" w:hAnsiTheme="minorHAnsi"/>
          <w:b/>
          <w:szCs w:val="22"/>
        </w:rPr>
        <w:t>–</w:t>
      </w:r>
      <w:proofErr w:type="gramStart"/>
      <w:r w:rsidRPr="000E17A8">
        <w:rPr>
          <w:rFonts w:asciiTheme="minorHAnsi" w:hAnsiTheme="minorHAnsi"/>
          <w:b/>
          <w:szCs w:val="22"/>
        </w:rPr>
        <w:t>19</w:t>
      </w:r>
      <w:proofErr w:type="gramEnd"/>
      <w:r w:rsidRPr="000E17A8">
        <w:rPr>
          <w:rFonts w:asciiTheme="minorHAnsi" w:hAnsiTheme="minorHAnsi"/>
          <w:b/>
          <w:szCs w:val="22"/>
        </w:rPr>
        <w:t xml:space="preserve">, ve výši 78 034,00 tis. Kč.  </w:t>
      </w:r>
      <w:r w:rsidRPr="000E17A8">
        <w:rPr>
          <w:rFonts w:asciiTheme="minorHAnsi" w:hAnsiTheme="minorHAnsi"/>
          <w:szCs w:val="22"/>
        </w:rPr>
        <w:t>Zastupitelstvo Středočeského kraje svým usnesením č. 012-24/2020/ZK dne 1. 6. 2020 schválilo přijetí bankovního úvěru s účelem poskytnutí návratných finančních výpomocí OSVČ ze Středočeského kraje, které byly nepříznivě ekonomicky zasaženy epidemií COVID-19 ve výši 2,75 mld. Kč. V roce 2020 bylo z tohoto úvěru čerpáno 235 mil. Kč a proplaceno cca 4 831 žádostí o návratnou finanční výpomoc. Na základě těchto realizovaných výdajů roku 2020 jsou na příjmové straně rozpočtu 2022 uvedeny splátky návratných finančních výpomocí OSVČ</w:t>
      </w:r>
      <w:r w:rsidRPr="000E17A8">
        <w:rPr>
          <w:rFonts w:asciiTheme="minorHAnsi" w:hAnsiTheme="minorHAnsi"/>
          <w:b/>
          <w:szCs w:val="22"/>
        </w:rPr>
        <w:t xml:space="preserve"> </w:t>
      </w:r>
      <w:r w:rsidRPr="000E17A8">
        <w:rPr>
          <w:rFonts w:asciiTheme="minorHAnsi" w:hAnsiTheme="minorHAnsi"/>
          <w:szCs w:val="22"/>
        </w:rPr>
        <w:t xml:space="preserve">ve výši 78 034,00 tis. Kč.  </w:t>
      </w:r>
    </w:p>
    <w:p w:rsidR="00841657" w:rsidRPr="000E17A8" w:rsidRDefault="00841657" w:rsidP="000E17A8">
      <w:pPr>
        <w:spacing w:line="240" w:lineRule="auto"/>
        <w:jc w:val="both"/>
        <w:rPr>
          <w:rFonts w:asciiTheme="minorHAnsi" w:hAnsiTheme="minorHAnsi"/>
        </w:rPr>
      </w:pPr>
      <w:r w:rsidRPr="000E17A8">
        <w:rPr>
          <w:rFonts w:asciiTheme="minorHAnsi" w:hAnsiTheme="minorHAnsi"/>
        </w:rPr>
        <w:t xml:space="preserve">Vzhledem k ekonomickému vývoji, růstu úrokových sazeb a vývoji </w:t>
      </w:r>
      <w:r w:rsidRPr="000E17A8">
        <w:rPr>
          <w:rFonts w:asciiTheme="minorHAnsi" w:hAnsiTheme="minorHAnsi"/>
          <w:b/>
        </w:rPr>
        <w:t>příjmů z úroků</w:t>
      </w:r>
      <w:r w:rsidRPr="000E17A8">
        <w:rPr>
          <w:rFonts w:asciiTheme="minorHAnsi" w:hAnsiTheme="minorHAnsi"/>
        </w:rPr>
        <w:t xml:space="preserve"> z depozit na bankovních účtech v minulém období jsou tyto příjmy navýšeny o 8 000,00 tis. Kč oproti roku 2021, tj. na 10 000,00 tis. Kč.</w:t>
      </w:r>
    </w:p>
    <w:p w:rsidR="00841657" w:rsidRPr="000E17A8" w:rsidRDefault="00841657" w:rsidP="000E17A8">
      <w:pPr>
        <w:spacing w:line="240" w:lineRule="auto"/>
        <w:jc w:val="both"/>
        <w:rPr>
          <w:rFonts w:asciiTheme="minorHAnsi" w:hAnsiTheme="minorHAnsi"/>
        </w:rPr>
      </w:pPr>
      <w:r w:rsidRPr="000E17A8">
        <w:rPr>
          <w:rFonts w:asciiTheme="minorHAnsi" w:hAnsiTheme="minorHAnsi"/>
        </w:rPr>
        <w:t xml:space="preserve">V nedaňových příjmech nejsou uvedeny </w:t>
      </w:r>
      <w:r w:rsidRPr="000E17A8">
        <w:rPr>
          <w:rFonts w:asciiTheme="minorHAnsi" w:hAnsiTheme="minorHAnsi"/>
          <w:b/>
          <w:bCs/>
        </w:rPr>
        <w:t>příjmy z pronájmů majetku příspěvkových organizací</w:t>
      </w:r>
      <w:r w:rsidRPr="000E17A8">
        <w:rPr>
          <w:rFonts w:asciiTheme="minorHAnsi" w:hAnsiTheme="minorHAnsi"/>
        </w:rPr>
        <w:t xml:space="preserve">, neboť od 1. 1. 2022 dochází ke změně systému uzavírání nájemních a </w:t>
      </w:r>
      <w:proofErr w:type="spellStart"/>
      <w:r w:rsidRPr="000E17A8">
        <w:rPr>
          <w:rFonts w:asciiTheme="minorHAnsi" w:hAnsiTheme="minorHAnsi"/>
        </w:rPr>
        <w:t>pachtovních</w:t>
      </w:r>
      <w:proofErr w:type="spellEnd"/>
      <w:r w:rsidRPr="000E17A8">
        <w:rPr>
          <w:rFonts w:asciiTheme="minorHAnsi" w:hAnsiTheme="minorHAnsi"/>
        </w:rPr>
        <w:t xml:space="preserve"> smluv a smluv o výpůjčce ke svěřenému nemovitému majetku tak, že tyto smlouvy budou uzavírány příspěvkovými organizacemi vlastním jménem (nikoli jménem kraje). Tzn., že příjmy z pronájmu a pachtu svěřeného majetku jsou ponechány jako výnos v rozpočtu příspěvkových organizací a nebudou odváděny do rozpočtu zřizovatele. I nadále budou příspěvkové organizace tyto prostředky používat výhradně na úhradu nákladů na opravy a údržbu svěřeného nemovitého majetku, popřípadě na pořízení vnitřního vybavení pronajímaných prostor.</w:t>
      </w:r>
    </w:p>
    <w:p w:rsidR="00841657" w:rsidRPr="000E17A8" w:rsidRDefault="00841657" w:rsidP="000E17A8">
      <w:pPr>
        <w:numPr>
          <w:ilvl w:val="0"/>
          <w:numId w:val="5"/>
        </w:numPr>
        <w:spacing w:line="240" w:lineRule="auto"/>
        <w:jc w:val="both"/>
        <w:rPr>
          <w:rFonts w:asciiTheme="minorHAnsi" w:hAnsiTheme="minorHAnsi"/>
          <w:b/>
          <w:bCs/>
        </w:rPr>
      </w:pPr>
      <w:r w:rsidRPr="000E17A8">
        <w:rPr>
          <w:rFonts w:asciiTheme="minorHAnsi" w:hAnsiTheme="minorHAnsi"/>
          <w:b/>
          <w:bCs/>
        </w:rPr>
        <w:t>kapitálové příjmy – 8 000,00 tis. Kč, což činí 0,02 % z celkových příjmů</w:t>
      </w:r>
    </w:p>
    <w:p w:rsidR="00841657" w:rsidRPr="000E17A8" w:rsidRDefault="00841657" w:rsidP="000E17A8">
      <w:pPr>
        <w:spacing w:line="240" w:lineRule="auto"/>
        <w:jc w:val="both"/>
        <w:rPr>
          <w:rFonts w:asciiTheme="minorHAnsi" w:hAnsiTheme="minorHAnsi"/>
        </w:rPr>
      </w:pPr>
      <w:r w:rsidRPr="000E17A8">
        <w:rPr>
          <w:rFonts w:asciiTheme="minorHAnsi" w:hAnsiTheme="minorHAnsi"/>
        </w:rPr>
        <w:t xml:space="preserve">Jsou tvořeny příjmy z předpokládaného prodeje majetku Středočeského kraje. Příjmy z prodeje majetku jsou v roce 2022 navrženy na stejné úrovni jako v roce 2021. </w:t>
      </w:r>
    </w:p>
    <w:p w:rsidR="00841657" w:rsidRPr="000E17A8" w:rsidRDefault="00841657" w:rsidP="000E17A8">
      <w:pPr>
        <w:spacing w:line="240" w:lineRule="auto"/>
        <w:jc w:val="both"/>
        <w:rPr>
          <w:rFonts w:asciiTheme="minorHAnsi" w:hAnsiTheme="minorHAnsi"/>
        </w:rPr>
      </w:pPr>
    </w:p>
    <w:p w:rsidR="00841657" w:rsidRPr="000E17A8" w:rsidRDefault="00841657" w:rsidP="000E17A8">
      <w:pPr>
        <w:spacing w:line="240" w:lineRule="auto"/>
        <w:jc w:val="both"/>
        <w:rPr>
          <w:rFonts w:asciiTheme="minorHAnsi" w:hAnsiTheme="minorHAnsi"/>
          <w:b/>
          <w:bCs/>
        </w:rPr>
      </w:pPr>
      <w:r w:rsidRPr="000E17A8">
        <w:rPr>
          <w:rFonts w:asciiTheme="minorHAnsi" w:hAnsiTheme="minorHAnsi"/>
          <w:b/>
        </w:rPr>
        <w:t>Přijaté</w:t>
      </w:r>
      <w:r w:rsidRPr="000E17A8">
        <w:rPr>
          <w:rFonts w:asciiTheme="minorHAnsi" w:hAnsiTheme="minorHAnsi"/>
        </w:rPr>
        <w:t xml:space="preserve"> </w:t>
      </w:r>
      <w:r w:rsidRPr="000E17A8">
        <w:rPr>
          <w:rFonts w:asciiTheme="minorHAnsi" w:hAnsiTheme="minorHAnsi"/>
          <w:b/>
          <w:bCs/>
        </w:rPr>
        <w:t>transfery – 23 435 304,20 tis. Kč, což činí 65,6 % z celkových příjmů</w:t>
      </w:r>
    </w:p>
    <w:p w:rsidR="00841657" w:rsidRPr="000E17A8" w:rsidRDefault="00841657" w:rsidP="000E17A8">
      <w:pPr>
        <w:spacing w:line="240" w:lineRule="auto"/>
        <w:jc w:val="both"/>
        <w:rPr>
          <w:rFonts w:asciiTheme="minorHAnsi" w:hAnsiTheme="minorHAnsi"/>
        </w:rPr>
      </w:pPr>
      <w:r w:rsidRPr="000E17A8">
        <w:rPr>
          <w:rFonts w:asciiTheme="minorHAnsi" w:hAnsiTheme="minorHAnsi"/>
        </w:rPr>
        <w:t>Jsou tvořeny státními prostředky, které Středočeský kraj obdrží na základě finančního dotačního vztahu státního rozpočtu k rozpočtu kraje – příspěvek na výkon státní správy (krytí výdajů v rámci přenesené působnosti), který je pro rok 2022 Středočeskému kraji valorizován o 5,4 %, a státními prostředky určenými na financování školství. Jedná se o neinvestiční dotaci ze státního rozpočtu určenou na přímé náklady vzdělávání pro školy a školská zařízení zřizované krajem, obcemi a soukromými zřizovateli. Oproti schválenému rozpočtu roku 2021 byly prostředky navýšeny o 10,4 % (o 2 189 000,00 tis. Kč).</w:t>
      </w:r>
    </w:p>
    <w:p w:rsidR="00841657" w:rsidRPr="000E17A8" w:rsidRDefault="00841657" w:rsidP="000E17A8">
      <w:pPr>
        <w:spacing w:line="240" w:lineRule="auto"/>
        <w:jc w:val="both"/>
        <w:rPr>
          <w:rFonts w:asciiTheme="minorHAnsi" w:hAnsiTheme="minorHAnsi"/>
        </w:rPr>
      </w:pPr>
    </w:p>
    <w:p w:rsidR="00841657" w:rsidRPr="000E17A8" w:rsidRDefault="00841657" w:rsidP="000E17A8">
      <w:pPr>
        <w:spacing w:line="240" w:lineRule="auto"/>
        <w:jc w:val="both"/>
        <w:rPr>
          <w:rFonts w:asciiTheme="minorHAnsi" w:hAnsiTheme="minorHAnsi"/>
        </w:rPr>
      </w:pPr>
      <w:r w:rsidRPr="000E17A8">
        <w:rPr>
          <w:rFonts w:asciiTheme="minorHAnsi" w:hAnsiTheme="minorHAnsi"/>
          <w:b/>
        </w:rPr>
        <w:t>Financování</w:t>
      </w:r>
      <w:r w:rsidRPr="000E17A8">
        <w:rPr>
          <w:rFonts w:asciiTheme="minorHAnsi" w:hAnsiTheme="minorHAnsi"/>
        </w:rPr>
        <w:t xml:space="preserve"> </w:t>
      </w:r>
      <w:r w:rsidRPr="000E17A8">
        <w:rPr>
          <w:rFonts w:asciiTheme="minorHAnsi" w:hAnsiTheme="minorHAnsi"/>
          <w:b/>
        </w:rPr>
        <w:t>ve zdrojích</w:t>
      </w:r>
      <w:r w:rsidRPr="000E17A8">
        <w:rPr>
          <w:rFonts w:asciiTheme="minorHAnsi" w:hAnsiTheme="minorHAnsi"/>
        </w:rPr>
        <w:t xml:space="preserve"> představuje zapojení zůstatku hospodaření z minulého roku ve výši 1 510 000,00 tis. Kč, přijatého úvěru od Evropské investiční banky ve výši 1 856 703,00 tis. Kč, úvěru přijatého od České spořitelny, a.s. ve výši 2 000 000,00 tis. Kč a úvěru přijatého od Komerční banky, a.s. ve výši 1 437 025,00 tis. Kč.</w:t>
      </w:r>
    </w:p>
    <w:p w:rsidR="00841657" w:rsidRPr="000E17A8" w:rsidRDefault="00841657" w:rsidP="000E17A8">
      <w:pPr>
        <w:spacing w:line="240" w:lineRule="auto"/>
        <w:jc w:val="both"/>
        <w:rPr>
          <w:rFonts w:asciiTheme="minorHAnsi" w:hAnsiTheme="minorHAnsi"/>
        </w:rPr>
      </w:pPr>
      <w:r w:rsidRPr="000E17A8">
        <w:rPr>
          <w:rFonts w:asciiTheme="minorHAnsi" w:hAnsiTheme="minorHAnsi"/>
        </w:rPr>
        <w:t>K 31. 12. 2021 se předpokládá na bankovních účtech kraje minimální stav volných finančních prostředků z minulého roku ve výši 1 500 000,00 tis. Kč, které jsou využitelné pro rozpočet roku 2022. Jedná se konkrétně o inkasování příjmů ze sdílených daní nad rámec rozpočtu ve výši 1 000 000,00 tis. Kč, zůstatek prostředků na předfinancování a kofinancování projektů spolufinancovaných z EU/EHP a ostatní související výdaje s projekty EU/EHP ve výši 200 000,00 tis. Kč. Prostředky budou zapojeny na financování projektů spolufinancovaných z EU/EHP a národních zdrojů. O zůstatek nevyužitých volných prostředků Středočeských fondů ve výši 133 000,00 tis. Kč budou v roce 2022 navýšeny opět Středočeské fondy. Zbylé prostředky ve výši 167 000,00 tis. Kč představují zůstatek nevyčerpaných rezerv rozpočtu 2021, který je zapojen do běžných výdajů kapitol, Středočeských fondů a specifických rezerv.</w:t>
      </w:r>
    </w:p>
    <w:p w:rsidR="00841657" w:rsidRPr="000E17A8" w:rsidRDefault="00841657" w:rsidP="000E17A8">
      <w:pPr>
        <w:spacing w:line="240" w:lineRule="auto"/>
        <w:jc w:val="both"/>
        <w:rPr>
          <w:rFonts w:asciiTheme="minorHAnsi" w:hAnsiTheme="minorHAnsi"/>
        </w:rPr>
      </w:pPr>
      <w:r w:rsidRPr="000E17A8">
        <w:rPr>
          <w:rFonts w:asciiTheme="minorHAnsi" w:hAnsiTheme="minorHAnsi"/>
        </w:rPr>
        <w:lastRenderedPageBreak/>
        <w:t>Dále financování ve zdrojích představuje zapojení předpokládaného zůstatku prostředků z poplatků za odebrané množství podzemní vody, které tvoří účelové prostředky Havarijního fondu pro ochranu jakosti vod Středočeského kraje ve výši 10 000,00 tis. Kč. Tyto prostředky budou zapojeny opět do Havarijního fondu pro ochranu jakosti vod Středočeského kraje.</w:t>
      </w:r>
    </w:p>
    <w:p w:rsidR="00841657" w:rsidRPr="000E17A8" w:rsidRDefault="00841657" w:rsidP="000E17A8">
      <w:pPr>
        <w:spacing w:line="240" w:lineRule="auto"/>
        <w:jc w:val="both"/>
        <w:rPr>
          <w:rFonts w:asciiTheme="minorHAnsi" w:hAnsiTheme="minorHAnsi"/>
        </w:rPr>
      </w:pPr>
      <w:r w:rsidRPr="000E17A8">
        <w:rPr>
          <w:rFonts w:asciiTheme="minorHAnsi" w:hAnsiTheme="minorHAnsi"/>
        </w:rPr>
        <w:t xml:space="preserve">V roce 2020 zastupitelstvo kraje usnesením č. 009-26/2020/ZK ze dne 3. 8. 2020 schválilo přijetí bankovního úvěru od Evropské investiční banky s úvěrovým limitem 1,3 mld. Kč. V roce 2021 usnesením č. 009-07/2021/ZK ze dne 31. 5. 2021 zastupitelstvo kraje schválilo přijetí dalšího bankovního úvěru od Evropské investiční banky s úvěrovým limitem 1,75 mld. Kč. Celkový úvěrový rámec přijatého bankovního úvěru od Evropské investiční banky tedy činí 3,05 mld. Kč. Úvěrové prostředky budou použity na financování investičních projektů Středočeského kraje, jeho příspěvkových organizací a akciových společností, evidovaných v seznamu registrovaných projektů schváleném EIB. Jedná se o projekty z oblasti zdravotnictví, sociální péče, silniční dopravy, školství a oblasti energetických úspor. Rámcový úvěr je flexibilní produkt, který umožňuje po jeho schválení provést výměnu dříve schválených </w:t>
      </w:r>
      <w:proofErr w:type="spellStart"/>
      <w:r w:rsidRPr="000E17A8">
        <w:rPr>
          <w:rFonts w:asciiTheme="minorHAnsi" w:hAnsiTheme="minorHAnsi"/>
        </w:rPr>
        <w:t>subprojektů</w:t>
      </w:r>
      <w:proofErr w:type="spellEnd"/>
      <w:r w:rsidRPr="000E17A8">
        <w:rPr>
          <w:rFonts w:asciiTheme="minorHAnsi" w:hAnsiTheme="minorHAnsi"/>
        </w:rPr>
        <w:t xml:space="preserve"> za jiné, tj. provést změnu struktury projektů prostřednictvím procesu realokace původně schválené alokace finančních prostředků. Proces realokace nevyžaduje změny ve smluvní dokumentaci. V roce 2022 je ve financování zapojeno 1 856 703,00 tis. Kč, což představuje předpoklad realizaci akcí ze seznamu registrovaných projektů hrazených z úvěru EIB. </w:t>
      </w:r>
    </w:p>
    <w:p w:rsidR="00841657" w:rsidRPr="000E17A8" w:rsidRDefault="00841657" w:rsidP="000E17A8">
      <w:pPr>
        <w:spacing w:line="240" w:lineRule="auto"/>
        <w:jc w:val="both"/>
        <w:rPr>
          <w:rFonts w:asciiTheme="minorHAnsi" w:hAnsiTheme="minorHAnsi"/>
        </w:rPr>
      </w:pPr>
      <w:r w:rsidRPr="000E17A8">
        <w:rPr>
          <w:rFonts w:asciiTheme="minorHAnsi" w:hAnsiTheme="minorHAnsi"/>
        </w:rPr>
        <w:t>Přijetí úvěru od České spořitelny, a.s. s celkovým úvěrovým rámcem ve výši 2,5 mld. Kč bylo schváleno Zastupitelstvem Středočeského kraje usnesením č. 027-10/2021/ZK ze dne 25. 10. 2021 za účelem předfinancování projektů spolufinancovaných z EU/EHP a národních zdrojů. Úvěrová smlouva byla s Českou spořitelnou, a. s. podepsána na začátku listopadu roku 2021. 2 000 000,00 tis. Kč bude využito na výdaje související s předfinancováním projektů spolufinancovaných z EU/EHP a národních zdrojů programového období 2014-2020 i období 2021-2027.</w:t>
      </w:r>
    </w:p>
    <w:p w:rsidR="00841657" w:rsidRPr="000E17A8" w:rsidRDefault="00841657" w:rsidP="000E17A8">
      <w:pPr>
        <w:spacing w:line="240" w:lineRule="auto"/>
        <w:jc w:val="both"/>
        <w:rPr>
          <w:rFonts w:asciiTheme="minorHAnsi" w:hAnsiTheme="minorHAnsi"/>
        </w:rPr>
      </w:pPr>
      <w:r w:rsidRPr="000E17A8">
        <w:rPr>
          <w:rFonts w:asciiTheme="minorHAnsi" w:hAnsiTheme="minorHAnsi"/>
        </w:rPr>
        <w:t>Přijetí úvěru od Komerční banky, a.s. s celkovým úvěrovým rámcem ve výši 4 mld. Kč bylo schváleno Zastupitelstvem Středočeského kraje usnesením č. 027-10/2021/ZK ze dne 25. 10. 2021 za účelem kofinancování projektů spolufinancovaných z EU/EHP a národních zdrojů. Úvěrová smlouva byla s Komerční bankou, a. s. podepsána na začátku listopadu roku 2021. 1 437 025,00 tis. Kč bude využito na kofinancování projektů spolufinancovaných z EU/EHP a národních zdrojů programového období 2014-2020 i období 2021-2027.</w:t>
      </w:r>
    </w:p>
    <w:p w:rsidR="00841657" w:rsidRPr="000E17A8" w:rsidRDefault="00841657" w:rsidP="000E17A8">
      <w:pPr>
        <w:spacing w:line="240" w:lineRule="auto"/>
        <w:jc w:val="both"/>
        <w:rPr>
          <w:rFonts w:asciiTheme="minorHAnsi" w:hAnsiTheme="minorHAnsi"/>
        </w:rPr>
      </w:pPr>
    </w:p>
    <w:p w:rsidR="00841657" w:rsidRPr="000E17A8" w:rsidRDefault="00841657" w:rsidP="000E17A8">
      <w:pPr>
        <w:spacing w:line="240" w:lineRule="auto"/>
        <w:jc w:val="both"/>
        <w:rPr>
          <w:rFonts w:asciiTheme="minorHAnsi" w:hAnsiTheme="minorHAnsi"/>
          <w:b/>
        </w:rPr>
      </w:pPr>
      <w:r w:rsidRPr="000E17A8">
        <w:rPr>
          <w:rFonts w:asciiTheme="minorHAnsi" w:hAnsiTheme="minorHAnsi"/>
          <w:b/>
        </w:rPr>
        <w:t>Zdroje celkem</w:t>
      </w:r>
    </w:p>
    <w:p w:rsidR="00841657" w:rsidRPr="000E17A8" w:rsidRDefault="00DD24DB" w:rsidP="000E17A8">
      <w:pPr>
        <w:spacing w:line="240" w:lineRule="auto"/>
        <w:jc w:val="both"/>
        <w:rPr>
          <w:rFonts w:asciiTheme="minorHAnsi" w:hAnsiTheme="minorHAnsi"/>
        </w:rPr>
      </w:pPr>
      <w:r>
        <w:rPr>
          <w:rFonts w:asciiTheme="minorHAnsi" w:hAnsiTheme="minorHAnsi"/>
        </w:rPr>
        <w:t>R</w:t>
      </w:r>
      <w:r w:rsidR="00841657" w:rsidRPr="000E17A8">
        <w:rPr>
          <w:rFonts w:asciiTheme="minorHAnsi" w:hAnsiTheme="minorHAnsi"/>
        </w:rPr>
        <w:t>ozpoč</w:t>
      </w:r>
      <w:r>
        <w:rPr>
          <w:rFonts w:asciiTheme="minorHAnsi" w:hAnsiTheme="minorHAnsi"/>
        </w:rPr>
        <w:t>e</w:t>
      </w:r>
      <w:r w:rsidR="00841657" w:rsidRPr="000E17A8">
        <w:rPr>
          <w:rFonts w:asciiTheme="minorHAnsi" w:hAnsiTheme="minorHAnsi"/>
        </w:rPr>
        <w:t>t příjmů na rok 2022 je proti schválenému rozpočtu roku 2021 vyšší o 9 099 753,00 tis Kč, tj. zvýšení o 27,2 %. Nárůst je způsoben především zvýšením daňových příjmů s ohledem na ekonomickou situaci, přijatými transfery ze státního rozpočtu s ohledem na navýšení platů pracovníků v oblasti školství, úvěrovými zdroji přijatými za účelem financování projektů spolufinancovaných z EU/EHP a národních zdrojů a zapojením zůstatku hospodaření z minulého roku.</w:t>
      </w:r>
    </w:p>
    <w:p w:rsidR="00841657" w:rsidRPr="000E17A8" w:rsidRDefault="00841657" w:rsidP="000E17A8">
      <w:pPr>
        <w:spacing w:line="240" w:lineRule="auto"/>
        <w:jc w:val="both"/>
        <w:rPr>
          <w:rFonts w:asciiTheme="minorHAnsi" w:hAnsiTheme="minorHAnsi"/>
        </w:rPr>
      </w:pPr>
    </w:p>
    <w:p w:rsidR="00841657" w:rsidRPr="000E17A8" w:rsidRDefault="00841657" w:rsidP="000E17A8">
      <w:pPr>
        <w:spacing w:line="240" w:lineRule="auto"/>
        <w:jc w:val="both"/>
        <w:rPr>
          <w:rFonts w:asciiTheme="minorHAnsi" w:hAnsiTheme="minorHAnsi"/>
          <w:bCs/>
        </w:rPr>
      </w:pPr>
      <w:r w:rsidRPr="000E17A8">
        <w:rPr>
          <w:rFonts w:asciiTheme="minorHAnsi" w:hAnsiTheme="minorHAnsi"/>
          <w:b/>
          <w:bCs/>
        </w:rPr>
        <w:t xml:space="preserve">Výdaje kraje – 40 207 008,20 tis. Kč </w:t>
      </w:r>
      <w:r w:rsidRPr="000E17A8">
        <w:rPr>
          <w:rFonts w:asciiTheme="minorHAnsi" w:hAnsiTheme="minorHAnsi"/>
          <w:bCs/>
        </w:rPr>
        <w:t>(bez financování ve výdajové části rozpočtu)</w:t>
      </w:r>
    </w:p>
    <w:p w:rsidR="00841657" w:rsidRPr="000E17A8" w:rsidRDefault="00841657" w:rsidP="000E17A8">
      <w:pPr>
        <w:spacing w:line="240" w:lineRule="auto"/>
        <w:jc w:val="both"/>
        <w:rPr>
          <w:rFonts w:asciiTheme="minorHAnsi" w:hAnsiTheme="minorHAnsi"/>
        </w:rPr>
      </w:pPr>
      <w:r w:rsidRPr="000E17A8">
        <w:rPr>
          <w:rFonts w:asciiTheme="minorHAnsi" w:hAnsiTheme="minorHAnsi"/>
        </w:rPr>
        <w:t>Jsou tvořeny běžnými výdaji kapitol, Středočeskými Fondy – grantové a dotační výdaje kapitol, Havarijním fondem pro ochranu jakosti vod Středočeského kraje, výdaji na havárie, kapitálovými (investičními) výdaji, finančními prostředky na předfinancování a kofinancování projektů spolufinancovaných z EU/EHP a ostatními souvisejícími výdaji s projekty EU/EHP, finančními prostředky na předfinancování a kofinancování projektů spolufinancovaných z národních zdrojů a ostatními souvisejícími výdaji s projekty z národních zdrojů, Rezervou na krytí nepředvídatelných událostí a finančních záruk, výdaji na krytí očekávaných výdajů kapitol, specifickými rezervami a dotacemi ze státního rozpočtu určenými na financování školství.</w:t>
      </w:r>
    </w:p>
    <w:p w:rsidR="00841657" w:rsidRPr="000E17A8" w:rsidRDefault="00841657" w:rsidP="000E17A8">
      <w:pPr>
        <w:spacing w:line="240" w:lineRule="auto"/>
        <w:jc w:val="both"/>
        <w:rPr>
          <w:rFonts w:asciiTheme="minorHAnsi" w:hAnsiTheme="minorHAnsi"/>
        </w:rPr>
      </w:pPr>
      <w:r w:rsidRPr="000E17A8">
        <w:rPr>
          <w:rFonts w:asciiTheme="minorHAnsi" w:hAnsiTheme="minorHAnsi"/>
        </w:rPr>
        <w:t>Ve výdajích jsou dále zahrnuty splátky úroků z přijatých úvěrů kraje a dluhová služba za úvěr nemocnic.</w:t>
      </w:r>
    </w:p>
    <w:p w:rsidR="00841657" w:rsidRPr="000E17A8" w:rsidRDefault="00841657" w:rsidP="000E17A8">
      <w:pPr>
        <w:spacing w:line="240" w:lineRule="auto"/>
        <w:jc w:val="both"/>
        <w:rPr>
          <w:rFonts w:asciiTheme="minorHAnsi" w:hAnsiTheme="minorHAnsi"/>
        </w:rPr>
      </w:pPr>
      <w:r w:rsidRPr="000E17A8">
        <w:rPr>
          <w:rFonts w:asciiTheme="minorHAnsi" w:hAnsiTheme="minorHAnsi"/>
        </w:rPr>
        <w:t>Výdaje kraje byly oproti schválenému rozpočtu roku 2021 navýšeny o 21,3 % (o 7 061 613,00 tis. Kč).</w:t>
      </w:r>
    </w:p>
    <w:p w:rsidR="00841657" w:rsidRPr="000E17A8" w:rsidRDefault="00841657" w:rsidP="000E17A8">
      <w:pPr>
        <w:spacing w:line="240" w:lineRule="auto"/>
        <w:jc w:val="both"/>
        <w:rPr>
          <w:rFonts w:asciiTheme="minorHAnsi" w:hAnsiTheme="minorHAnsi"/>
        </w:rPr>
      </w:pPr>
    </w:p>
    <w:p w:rsidR="00841657" w:rsidRPr="000E17A8" w:rsidRDefault="00841657" w:rsidP="000E17A8">
      <w:pPr>
        <w:spacing w:line="240" w:lineRule="auto"/>
        <w:jc w:val="both"/>
        <w:rPr>
          <w:rFonts w:asciiTheme="minorHAnsi" w:hAnsiTheme="minorHAnsi"/>
          <w:b/>
          <w:bCs/>
        </w:rPr>
      </w:pPr>
      <w:r w:rsidRPr="000E17A8">
        <w:rPr>
          <w:rFonts w:asciiTheme="minorHAnsi" w:hAnsiTheme="minorHAnsi"/>
          <w:b/>
          <w:bCs/>
        </w:rPr>
        <w:t>Běžné výdaje kapitol – 8 788 930,00 tis. Kč, což činí 21,9 % z celkových výdajů</w:t>
      </w:r>
    </w:p>
    <w:p w:rsidR="00841657" w:rsidRPr="000E17A8" w:rsidRDefault="00841657" w:rsidP="000E17A8">
      <w:pPr>
        <w:spacing w:line="240" w:lineRule="auto"/>
        <w:jc w:val="both"/>
        <w:rPr>
          <w:rFonts w:asciiTheme="minorHAnsi" w:hAnsiTheme="minorHAnsi"/>
        </w:rPr>
      </w:pPr>
      <w:r w:rsidRPr="000E17A8">
        <w:rPr>
          <w:rFonts w:asciiTheme="minorHAnsi" w:hAnsiTheme="minorHAnsi"/>
          <w:bCs/>
        </w:rPr>
        <w:lastRenderedPageBreak/>
        <w:t xml:space="preserve">Vycházejí z návrhů rozpočtů odborů krajského úřadu a zohledňují zejména zřizovatelskou funkci kraje k příspěvkovým organizacím i založeným společnostem. Obsahují výdaje vyplývající z uzavřených smluv a provozu krajského úřadu a zastupitelstva kraje. </w:t>
      </w:r>
      <w:r w:rsidRPr="000E17A8">
        <w:rPr>
          <w:rFonts w:asciiTheme="minorHAnsi" w:hAnsiTheme="minorHAnsi"/>
        </w:rPr>
        <w:t>Dále vycházejí ze schváleného nebo upraveného rozpočtu roku 2021 a to jak ve smyslu struktury, tak i objemu rozpočtovaných částek. Objemově vyšší ve srovnání s rokem 2021 jsou výdaje na opravy škod po zimě a prodloužení životnosti kobercových úprav po záruce silnic II. a III. třídy (o 100 000,00 tis. Kč), výdaje v oblasti dopravní obslužnosti (o 124 483,00 tis. Kč) a například podpora kvality a rozvojové projekty škol (o 101 500,00 tis. Kč). Další podstatný nárůst běžných výdajů kapitol je způsoben zejména nárůstem příspěvků příspěvkovým organizacím, které jsou navýšeny o fixaci fondů příspěvkových organizací ve výši 375 mil. Kč (příspěvkové organizace zafixovaly v roce 2020 prostřednictvím zřizovatele část prostředků jak v rezervních fondech, tak ve fondech investic k využití v rozpočtech těchto organizací v roce 2021. Vázáním těchto prostředků v roce 2020 byly vytvořeny prostředky pro financování příspěvkových organizací v roce 2021 v celkové výši 375 mil. Kč, tímto krokem byl ve schváleném rozpočtu 2021 snížen příspěvek zřizovatele a ve schváleném rozpočtu roku 2022 je jim opět navrácen) a nárůstem mzdových prostředků ve veřejném sektoru zejména navýšené na základě nařízení vlády České republiky v roce 2021 ve výši 90,2 mil. Kč.</w:t>
      </w:r>
    </w:p>
    <w:p w:rsidR="00841657" w:rsidRPr="000E17A8" w:rsidRDefault="00841657" w:rsidP="000E17A8">
      <w:pPr>
        <w:spacing w:line="240" w:lineRule="auto"/>
        <w:jc w:val="both"/>
        <w:rPr>
          <w:rFonts w:asciiTheme="minorHAnsi" w:hAnsiTheme="minorHAnsi"/>
        </w:rPr>
      </w:pPr>
      <w:r w:rsidRPr="000E17A8">
        <w:rPr>
          <w:rFonts w:asciiTheme="minorHAnsi" w:hAnsiTheme="minorHAnsi"/>
        </w:rPr>
        <w:t>V rozpočtu běžných výdajů kapitol není promítnuto plánované navýšení platů zaměstnanců ve veřejných službách a správě od 1. 1. 2022, neboť v době sestavování rozpočtu nebylo ještě příslušné nařízení vlády vydáno. V souvislosti s touto připravovanou změnou jsou prostředky na případné navýšení platů alokovány v rozpočtu na rok 2022 na kapitole 23 – Ostatní v částce 141 980,00 tis. Kč, což představuje předpokládaný nárůst platových tarifů. Dále zde není promítnuto navýšení mezd řidičům veřejné dopravy, které vyplývá ze změny výše minimální mzdy a představuje plánovaný objem 40 000,00 tis. Kč. Toto navýšení je také alokováno ve specifických rezervách na kapitole 23 – Ostatní.</w:t>
      </w:r>
    </w:p>
    <w:p w:rsidR="00841657" w:rsidRPr="000E17A8" w:rsidRDefault="00841657" w:rsidP="000E17A8">
      <w:pPr>
        <w:spacing w:line="240" w:lineRule="auto"/>
        <w:jc w:val="both"/>
        <w:rPr>
          <w:rFonts w:asciiTheme="minorHAnsi" w:hAnsiTheme="minorHAnsi"/>
        </w:rPr>
      </w:pPr>
      <w:r w:rsidRPr="000E17A8">
        <w:rPr>
          <w:rFonts w:asciiTheme="minorHAnsi" w:hAnsiTheme="minorHAnsi"/>
        </w:rPr>
        <w:t>Oproti schválenému rozpočtu roku 2021 byly běžné výdaje navýšeny o 12,0 % (o 939 408,00 tis. Kč).</w:t>
      </w:r>
    </w:p>
    <w:p w:rsidR="00841657" w:rsidRPr="000E17A8" w:rsidRDefault="00841657" w:rsidP="000E17A8">
      <w:pPr>
        <w:spacing w:line="240" w:lineRule="auto"/>
        <w:jc w:val="both"/>
        <w:rPr>
          <w:rFonts w:asciiTheme="minorHAnsi" w:hAnsiTheme="minorHAnsi"/>
        </w:rPr>
      </w:pPr>
    </w:p>
    <w:p w:rsidR="00841657" w:rsidRPr="000E17A8" w:rsidRDefault="00841657" w:rsidP="000E17A8">
      <w:pPr>
        <w:spacing w:line="240" w:lineRule="auto"/>
        <w:jc w:val="both"/>
        <w:rPr>
          <w:rFonts w:asciiTheme="minorHAnsi" w:hAnsiTheme="minorHAnsi"/>
        </w:rPr>
      </w:pPr>
      <w:r w:rsidRPr="000E17A8">
        <w:rPr>
          <w:rFonts w:asciiTheme="minorHAnsi" w:hAnsiTheme="minorHAnsi"/>
        </w:rPr>
        <w:t>Z důvodů zajištění dlouhodobého finančního plánování a s tím souvisejících případných úsporných opatření jsou běžné výdaje kapitol rozděleny z hlediska důležitosti/nutnosti do tří kategorií na výdaje:</w:t>
      </w:r>
    </w:p>
    <w:p w:rsidR="00841657" w:rsidRPr="000E17A8" w:rsidRDefault="00841657" w:rsidP="000E17A8">
      <w:pPr>
        <w:numPr>
          <w:ilvl w:val="0"/>
          <w:numId w:val="5"/>
        </w:numPr>
        <w:spacing w:line="240" w:lineRule="auto"/>
        <w:jc w:val="both"/>
        <w:rPr>
          <w:rFonts w:asciiTheme="minorHAnsi" w:hAnsiTheme="minorHAnsi"/>
        </w:rPr>
      </w:pPr>
      <w:r w:rsidRPr="000E17A8">
        <w:rPr>
          <w:rFonts w:asciiTheme="minorHAnsi" w:hAnsiTheme="minorHAnsi"/>
        </w:rPr>
        <w:t>obligatorní (červené), které kraj musí vynaložit (tj. výdaje určené na zajištění zákonných povinností, případně jiných právních norem a zajištění základního chodu kraje),</w:t>
      </w:r>
    </w:p>
    <w:p w:rsidR="00841657" w:rsidRPr="000E17A8" w:rsidRDefault="00841657" w:rsidP="000E17A8">
      <w:pPr>
        <w:numPr>
          <w:ilvl w:val="0"/>
          <w:numId w:val="5"/>
        </w:numPr>
        <w:spacing w:line="240" w:lineRule="auto"/>
        <w:jc w:val="both"/>
        <w:rPr>
          <w:rFonts w:asciiTheme="minorHAnsi" w:hAnsiTheme="minorHAnsi"/>
        </w:rPr>
      </w:pPr>
      <w:proofErr w:type="spellStart"/>
      <w:r w:rsidRPr="000E17A8">
        <w:rPr>
          <w:rFonts w:asciiTheme="minorHAnsi" w:hAnsiTheme="minorHAnsi"/>
        </w:rPr>
        <w:t>semifakultativní</w:t>
      </w:r>
      <w:proofErr w:type="spellEnd"/>
      <w:r w:rsidRPr="000E17A8">
        <w:rPr>
          <w:rFonts w:asciiTheme="minorHAnsi" w:hAnsiTheme="minorHAnsi"/>
        </w:rPr>
        <w:t xml:space="preserve"> (oranžové), které by kraj měl vynaložit (tj. výdaje důležité pro strategický rozvoj kraje),</w:t>
      </w:r>
    </w:p>
    <w:p w:rsidR="00841657" w:rsidRPr="000E17A8" w:rsidRDefault="00841657" w:rsidP="000E17A8">
      <w:pPr>
        <w:numPr>
          <w:ilvl w:val="0"/>
          <w:numId w:val="5"/>
        </w:numPr>
        <w:spacing w:line="240" w:lineRule="auto"/>
        <w:jc w:val="both"/>
        <w:rPr>
          <w:rFonts w:asciiTheme="minorHAnsi" w:hAnsiTheme="minorHAnsi"/>
        </w:rPr>
      </w:pPr>
      <w:r w:rsidRPr="000E17A8">
        <w:rPr>
          <w:rFonts w:asciiTheme="minorHAnsi" w:hAnsiTheme="minorHAnsi"/>
        </w:rPr>
        <w:t>fakultativní (zelené), které kraj může vynaložit (tj. výdaje nepovinné, dobrovolné, které pokud kraj nevynaloží, neohrozí tak ani zákonnou povinnost ani strategický rozvoj kraje).</w:t>
      </w:r>
    </w:p>
    <w:p w:rsidR="00841657" w:rsidRPr="000E17A8" w:rsidRDefault="00841657" w:rsidP="000E17A8">
      <w:pPr>
        <w:spacing w:line="240" w:lineRule="auto"/>
        <w:jc w:val="both"/>
        <w:rPr>
          <w:rFonts w:asciiTheme="minorHAnsi" w:hAnsiTheme="minorHAnsi"/>
        </w:rPr>
      </w:pPr>
      <w:r w:rsidRPr="000E17A8">
        <w:rPr>
          <w:rFonts w:asciiTheme="minorHAnsi" w:hAnsiTheme="minorHAnsi"/>
        </w:rPr>
        <w:t>Toto členění výdajů se týká běžných výdajů kapitol a je zpracováno pro možnost objektivnějšího posouzení důležitosti/nutnosti.</w:t>
      </w:r>
    </w:p>
    <w:p w:rsidR="00841657" w:rsidRPr="000E17A8" w:rsidRDefault="00841657" w:rsidP="000E17A8">
      <w:pPr>
        <w:spacing w:line="240" w:lineRule="auto"/>
        <w:jc w:val="both"/>
        <w:rPr>
          <w:rFonts w:asciiTheme="minorHAnsi" w:hAnsiTheme="minorHAnsi"/>
        </w:rPr>
      </w:pPr>
      <w:r w:rsidRPr="000E17A8">
        <w:rPr>
          <w:rFonts w:asciiTheme="minorHAnsi" w:hAnsiTheme="minorHAnsi"/>
        </w:rPr>
        <w:t>Struktura běžných výdajů kapitol Středočeského kraje rozdělená do tří kategorií umožnuje reagovat na případný propad daňových příjmů. Snížení rozpočtu kraje bude díky této struktuře:</w:t>
      </w:r>
    </w:p>
    <w:p w:rsidR="00841657" w:rsidRPr="000E17A8" w:rsidRDefault="00841657" w:rsidP="000E17A8">
      <w:pPr>
        <w:pStyle w:val="Odstavecseseznamem"/>
        <w:numPr>
          <w:ilvl w:val="0"/>
          <w:numId w:val="5"/>
        </w:numPr>
        <w:spacing w:line="240" w:lineRule="auto"/>
        <w:jc w:val="both"/>
        <w:rPr>
          <w:rFonts w:asciiTheme="minorHAnsi" w:hAnsiTheme="minorHAnsi"/>
        </w:rPr>
      </w:pPr>
      <w:r w:rsidRPr="000E17A8">
        <w:rPr>
          <w:rFonts w:asciiTheme="minorHAnsi" w:hAnsiTheme="minorHAnsi"/>
        </w:rPr>
        <w:t>dopředu zřejmé,</w:t>
      </w:r>
    </w:p>
    <w:p w:rsidR="00841657" w:rsidRPr="000E17A8" w:rsidRDefault="00841657" w:rsidP="000E17A8">
      <w:pPr>
        <w:pStyle w:val="Odstavecseseznamem"/>
        <w:numPr>
          <w:ilvl w:val="0"/>
          <w:numId w:val="5"/>
        </w:numPr>
        <w:spacing w:line="240" w:lineRule="auto"/>
        <w:jc w:val="both"/>
        <w:rPr>
          <w:rFonts w:asciiTheme="minorHAnsi" w:hAnsiTheme="minorHAnsi"/>
        </w:rPr>
      </w:pPr>
      <w:r w:rsidRPr="000E17A8">
        <w:rPr>
          <w:rFonts w:asciiTheme="minorHAnsi" w:hAnsiTheme="minorHAnsi"/>
        </w:rPr>
        <w:t>nezpůsobí z dlouhodobého hlediska ztráty při jejich znovuzavádění.</w:t>
      </w:r>
    </w:p>
    <w:p w:rsidR="00841657" w:rsidRPr="000E17A8" w:rsidRDefault="00841657" w:rsidP="000E17A8">
      <w:pPr>
        <w:pStyle w:val="Odstavecseseznamem"/>
        <w:spacing w:line="240" w:lineRule="auto"/>
        <w:ind w:left="0"/>
        <w:jc w:val="both"/>
        <w:rPr>
          <w:rFonts w:asciiTheme="minorHAnsi" w:hAnsiTheme="minorHAnsi"/>
        </w:rPr>
      </w:pPr>
      <w:r w:rsidRPr="000E17A8">
        <w:rPr>
          <w:rFonts w:asciiTheme="minorHAnsi" w:hAnsiTheme="minorHAnsi"/>
        </w:rPr>
        <w:t>Při neplnění daňových příjmů náměstek hejtmanky pro oblast financí, dotací a inovací rozhodne o převodu určité částky představující konkrétní procento z objemu fakultativních výdajů rozpočtu jednotlivých kapitol. Na základě jeho rozhodnutí Odbor finanční převede rozpočtovou úpravou dané procento z fakultativních výdajů jednotlivých kapitol do kapitoly 23 – Ostatní. Fakultativní výdaje tvoří cca 5 % z běžných výdajů kapitol.</w:t>
      </w:r>
    </w:p>
    <w:p w:rsidR="00841657" w:rsidRPr="000E17A8" w:rsidRDefault="00841657" w:rsidP="000E17A8">
      <w:pPr>
        <w:pStyle w:val="Odstavecseseznamem"/>
        <w:spacing w:line="240" w:lineRule="auto"/>
        <w:ind w:left="0"/>
        <w:jc w:val="both"/>
        <w:rPr>
          <w:rFonts w:asciiTheme="minorHAnsi" w:hAnsiTheme="minorHAnsi"/>
        </w:rPr>
      </w:pPr>
    </w:p>
    <w:p w:rsidR="00841657" w:rsidRPr="000E17A8" w:rsidRDefault="00841657" w:rsidP="000E17A8">
      <w:pPr>
        <w:spacing w:line="240" w:lineRule="auto"/>
        <w:jc w:val="both"/>
        <w:rPr>
          <w:rFonts w:asciiTheme="minorHAnsi" w:hAnsiTheme="minorHAnsi"/>
        </w:rPr>
      </w:pPr>
      <w:r w:rsidRPr="000E17A8">
        <w:rPr>
          <w:rFonts w:asciiTheme="minorHAnsi" w:hAnsiTheme="minorHAnsi"/>
        </w:rPr>
        <w:t>Z důvodu navyšování mezd na základě jednotlivých nařízení vlády v předchozích letech jsou v rámci běžných výdajů kapitol vyčleněny:</w:t>
      </w:r>
    </w:p>
    <w:p w:rsidR="00841657" w:rsidRPr="000E17A8" w:rsidRDefault="00841657" w:rsidP="000E17A8">
      <w:pPr>
        <w:numPr>
          <w:ilvl w:val="0"/>
          <w:numId w:val="5"/>
        </w:numPr>
        <w:spacing w:line="240" w:lineRule="auto"/>
        <w:jc w:val="both"/>
        <w:rPr>
          <w:rFonts w:asciiTheme="minorHAnsi" w:hAnsiTheme="minorHAnsi"/>
        </w:rPr>
      </w:pPr>
      <w:r w:rsidRPr="000E17A8">
        <w:rPr>
          <w:rFonts w:asciiTheme="minorHAnsi" w:hAnsiTheme="minorHAnsi"/>
        </w:rPr>
        <w:t>mzdové výdaje – jedná se zejména o vyčlenění mzdových výdajů, a to jak týkajících se krajského úřadu, tak zřízených příspěvkových organizací,</w:t>
      </w:r>
    </w:p>
    <w:p w:rsidR="00841657" w:rsidRPr="000E17A8" w:rsidRDefault="00841657" w:rsidP="000E17A8">
      <w:pPr>
        <w:numPr>
          <w:ilvl w:val="0"/>
          <w:numId w:val="5"/>
        </w:numPr>
        <w:spacing w:line="240" w:lineRule="auto"/>
        <w:jc w:val="both"/>
        <w:rPr>
          <w:rFonts w:asciiTheme="minorHAnsi" w:hAnsiTheme="minorHAnsi"/>
        </w:rPr>
      </w:pPr>
      <w:r w:rsidRPr="000E17A8">
        <w:rPr>
          <w:rFonts w:asciiTheme="minorHAnsi" w:hAnsiTheme="minorHAnsi"/>
        </w:rPr>
        <w:t>příspěvky na běžné opravy a udržování – týká se zřízených příspěvkových organizací a výdaje související s opravou a údržbou majetku – týká se činnosti zastupitelstva a krajského úřadu,</w:t>
      </w:r>
    </w:p>
    <w:p w:rsidR="00841657" w:rsidRPr="000E17A8" w:rsidRDefault="00841657" w:rsidP="000E17A8">
      <w:pPr>
        <w:numPr>
          <w:ilvl w:val="0"/>
          <w:numId w:val="5"/>
        </w:numPr>
        <w:spacing w:line="240" w:lineRule="auto"/>
        <w:jc w:val="both"/>
        <w:rPr>
          <w:rFonts w:asciiTheme="minorHAnsi" w:hAnsiTheme="minorHAnsi"/>
        </w:rPr>
      </w:pPr>
      <w:r w:rsidRPr="000E17A8">
        <w:rPr>
          <w:rFonts w:asciiTheme="minorHAnsi" w:hAnsiTheme="minorHAnsi"/>
        </w:rPr>
        <w:lastRenderedPageBreak/>
        <w:t>příspěvky na provoz, které jsou zasílány zřizovatelem zřízeným příspěvkovým organizacím.</w:t>
      </w:r>
    </w:p>
    <w:p w:rsidR="00841657" w:rsidRPr="000E17A8" w:rsidRDefault="00841657" w:rsidP="000E17A8">
      <w:pPr>
        <w:spacing w:line="240" w:lineRule="auto"/>
        <w:jc w:val="both"/>
        <w:rPr>
          <w:rFonts w:asciiTheme="minorHAnsi" w:hAnsiTheme="minorHAnsi"/>
        </w:rPr>
      </w:pPr>
      <w:r w:rsidRPr="000E17A8">
        <w:rPr>
          <w:rFonts w:asciiTheme="minorHAnsi" w:hAnsiTheme="minorHAnsi"/>
        </w:rPr>
        <w:t xml:space="preserve"> </w:t>
      </w:r>
    </w:p>
    <w:p w:rsidR="00841657" w:rsidRPr="000E17A8" w:rsidRDefault="00841657" w:rsidP="000E17A8">
      <w:pPr>
        <w:spacing w:line="240" w:lineRule="auto"/>
        <w:jc w:val="both"/>
        <w:rPr>
          <w:rFonts w:asciiTheme="minorHAnsi" w:hAnsiTheme="minorHAnsi"/>
        </w:rPr>
      </w:pPr>
      <w:r w:rsidRPr="000E17A8">
        <w:rPr>
          <w:rFonts w:asciiTheme="minorHAnsi" w:hAnsiTheme="minorHAnsi"/>
          <w:b/>
          <w:bCs/>
        </w:rPr>
        <w:t>Středočeské Fondy – grantové a dotační výdaje</w:t>
      </w:r>
      <w:r w:rsidRPr="000E17A8">
        <w:rPr>
          <w:rFonts w:asciiTheme="minorHAnsi" w:hAnsiTheme="minorHAnsi"/>
          <w:b/>
        </w:rPr>
        <w:t xml:space="preserve"> kapitol</w:t>
      </w:r>
      <w:r w:rsidRPr="000E17A8">
        <w:rPr>
          <w:rFonts w:asciiTheme="minorHAnsi" w:hAnsiTheme="minorHAnsi"/>
        </w:rPr>
        <w:t xml:space="preserve"> </w:t>
      </w:r>
      <w:r w:rsidRPr="000E17A8">
        <w:rPr>
          <w:rFonts w:asciiTheme="minorHAnsi" w:hAnsiTheme="minorHAnsi"/>
          <w:b/>
          <w:bCs/>
        </w:rPr>
        <w:t>– 663 000,00 tis. Kč</w:t>
      </w:r>
    </w:p>
    <w:p w:rsidR="00841657" w:rsidRPr="000E17A8" w:rsidRDefault="00841657" w:rsidP="000E17A8">
      <w:pPr>
        <w:spacing w:line="240" w:lineRule="auto"/>
        <w:jc w:val="both"/>
        <w:rPr>
          <w:rFonts w:asciiTheme="minorHAnsi" w:hAnsiTheme="minorHAnsi"/>
        </w:rPr>
      </w:pPr>
      <w:r w:rsidRPr="000E17A8">
        <w:rPr>
          <w:rFonts w:asciiTheme="minorHAnsi" w:hAnsiTheme="minorHAnsi"/>
        </w:rPr>
        <w:t xml:space="preserve">Jedná se o finanční prostředky na nová dotační řízení Středočeských Fondů. Rozpis prostředků mezi jednotlivé fondy je uveden v tabulkové části v příloze č. 1. Oproti roku schválenému rozpočtu roku 2021 došlo k navýšení o 947,1 % (z důvodu nutných úspor vyvolaných očekávaným nižším plněním daňových příjmů v roce 2021 byl ve schváleném rozpočtu roku 2021 finančně kryt pouze Středočeský Infrastrukturní fond - oblast životní prostředí a Středočeský Fond obnovy venkova). </w:t>
      </w:r>
    </w:p>
    <w:p w:rsidR="00841657" w:rsidRPr="000E17A8" w:rsidRDefault="00841657" w:rsidP="000E17A8">
      <w:pPr>
        <w:spacing w:line="240" w:lineRule="auto"/>
        <w:jc w:val="both"/>
        <w:rPr>
          <w:rFonts w:asciiTheme="minorHAnsi" w:hAnsiTheme="minorHAnsi"/>
        </w:rPr>
      </w:pPr>
    </w:p>
    <w:p w:rsidR="00841657" w:rsidRPr="000E17A8" w:rsidRDefault="00841657" w:rsidP="000E17A8">
      <w:pPr>
        <w:spacing w:line="240" w:lineRule="auto"/>
        <w:jc w:val="both"/>
        <w:rPr>
          <w:rFonts w:asciiTheme="minorHAnsi" w:hAnsiTheme="minorHAnsi"/>
        </w:rPr>
      </w:pPr>
      <w:r w:rsidRPr="000E17A8">
        <w:rPr>
          <w:rFonts w:asciiTheme="minorHAnsi" w:hAnsiTheme="minorHAnsi"/>
          <w:b/>
          <w:bCs/>
        </w:rPr>
        <w:t>Havarijní fond pro ochranu jakosti vod Středočeského kraje</w:t>
      </w:r>
      <w:r w:rsidRPr="000E17A8">
        <w:rPr>
          <w:rFonts w:asciiTheme="minorHAnsi" w:hAnsiTheme="minorHAnsi"/>
        </w:rPr>
        <w:t xml:space="preserve"> </w:t>
      </w:r>
      <w:r w:rsidRPr="000E17A8">
        <w:rPr>
          <w:rFonts w:asciiTheme="minorHAnsi" w:hAnsiTheme="minorHAnsi"/>
          <w:b/>
          <w:bCs/>
        </w:rPr>
        <w:t>– 10 000,00 tis. Kč</w:t>
      </w:r>
    </w:p>
    <w:p w:rsidR="00841657" w:rsidRPr="000E17A8" w:rsidRDefault="00841657" w:rsidP="000E17A8">
      <w:pPr>
        <w:spacing w:line="240" w:lineRule="auto"/>
        <w:jc w:val="both"/>
        <w:rPr>
          <w:rFonts w:asciiTheme="minorHAnsi" w:hAnsiTheme="minorHAnsi"/>
        </w:rPr>
      </w:pPr>
      <w:r w:rsidRPr="000E17A8">
        <w:rPr>
          <w:rFonts w:asciiTheme="minorHAnsi" w:hAnsiTheme="minorHAnsi"/>
        </w:rPr>
        <w:t xml:space="preserve">Byl zřízen v souladu se zákonem č. 254/2001 Sb., „vodní zákon“, za účelem úhrady nutných nákladů potřebných na realizaci opatření k nápravě při havarijních stavech na povrchových a podzemních vodách (v případě, kdy tato nápravná opatření nelze uložit původci havárie). Prostředky fondu lze, mimo jiné, poskytnout žadatelům na vypracování analýzy rizik v rámci řešení vlivu starých ekologických zátěží neznámých původců na kvalitu podzemních nebo povrchových vod a realizace opatření dle analýzy rizik, a to v případě, že existuje důvodné riziko ohrožení zejména vod sloužících k zásobování pitnou vodou. Zpravidla se jedná o doplňkové financování pro žádosti směrované do Operačního programu Životní prostředí limitované maximálně 10 % nákladů. Fond je tvořen z poplatků za odebrané množství podzemní vody a je doplňován do výše 10 000,00 tis. Kč v průběhu roku na základě aktuálně vybraných poplatků a z případného zůstatku poplatků z předchozího roku. </w:t>
      </w:r>
    </w:p>
    <w:p w:rsidR="00841657" w:rsidRPr="000E17A8" w:rsidRDefault="00841657" w:rsidP="000E17A8">
      <w:pPr>
        <w:spacing w:line="240" w:lineRule="auto"/>
        <w:jc w:val="both"/>
        <w:rPr>
          <w:rFonts w:asciiTheme="minorHAnsi" w:hAnsiTheme="minorHAnsi"/>
        </w:rPr>
      </w:pPr>
    </w:p>
    <w:p w:rsidR="00841657" w:rsidRPr="000E17A8" w:rsidRDefault="00841657" w:rsidP="000E17A8">
      <w:pPr>
        <w:spacing w:line="240" w:lineRule="auto"/>
        <w:jc w:val="both"/>
        <w:rPr>
          <w:rFonts w:asciiTheme="minorHAnsi" w:hAnsiTheme="minorHAnsi"/>
        </w:rPr>
      </w:pPr>
      <w:r w:rsidRPr="000E17A8">
        <w:rPr>
          <w:rFonts w:asciiTheme="minorHAnsi" w:hAnsiTheme="minorHAnsi"/>
          <w:b/>
        </w:rPr>
        <w:t xml:space="preserve">Výdaje na </w:t>
      </w:r>
      <w:r w:rsidRPr="000E17A8">
        <w:rPr>
          <w:rFonts w:asciiTheme="minorHAnsi" w:hAnsiTheme="minorHAnsi"/>
          <w:b/>
          <w:bCs/>
        </w:rPr>
        <w:t>havárie</w:t>
      </w:r>
      <w:r w:rsidRPr="000E17A8">
        <w:rPr>
          <w:rFonts w:asciiTheme="minorHAnsi" w:hAnsiTheme="minorHAnsi"/>
        </w:rPr>
        <w:t xml:space="preserve"> </w:t>
      </w:r>
      <w:r w:rsidRPr="000E17A8">
        <w:rPr>
          <w:rFonts w:asciiTheme="minorHAnsi" w:hAnsiTheme="minorHAnsi"/>
          <w:b/>
          <w:bCs/>
        </w:rPr>
        <w:t>– 20 000,00 tis. Kč</w:t>
      </w:r>
    </w:p>
    <w:p w:rsidR="00841657" w:rsidRPr="000E17A8" w:rsidRDefault="00841657" w:rsidP="000E17A8">
      <w:pPr>
        <w:spacing w:line="240" w:lineRule="auto"/>
        <w:jc w:val="both"/>
        <w:rPr>
          <w:rFonts w:asciiTheme="minorHAnsi" w:hAnsiTheme="minorHAnsi"/>
        </w:rPr>
      </w:pPr>
      <w:r w:rsidRPr="000E17A8">
        <w:rPr>
          <w:rFonts w:asciiTheme="minorHAnsi" w:hAnsiTheme="minorHAnsi"/>
        </w:rPr>
        <w:t>Prostředky budou čerpány v průběhu roku dle potřeby na krytí nepředvídatelných událostí na základě rozpočtových úprav, které budou schváleny Radou Středočeského kraje. Oproti schválenému rozpočtu roku 2021 nebyly prostředky navýšeny.</w:t>
      </w:r>
    </w:p>
    <w:p w:rsidR="00841657" w:rsidRPr="000E17A8" w:rsidRDefault="00841657" w:rsidP="000E17A8">
      <w:pPr>
        <w:spacing w:line="240" w:lineRule="auto"/>
        <w:jc w:val="both"/>
        <w:rPr>
          <w:rFonts w:asciiTheme="minorHAnsi" w:hAnsiTheme="minorHAnsi"/>
        </w:rPr>
      </w:pPr>
    </w:p>
    <w:p w:rsidR="00841657" w:rsidRPr="000E17A8" w:rsidRDefault="00841657" w:rsidP="000E17A8">
      <w:pPr>
        <w:spacing w:line="240" w:lineRule="auto"/>
        <w:jc w:val="both"/>
        <w:rPr>
          <w:rFonts w:asciiTheme="minorHAnsi" w:hAnsiTheme="minorHAnsi"/>
          <w:b/>
          <w:bCs/>
        </w:rPr>
      </w:pPr>
      <w:r w:rsidRPr="000E17A8">
        <w:rPr>
          <w:rFonts w:asciiTheme="minorHAnsi" w:hAnsiTheme="minorHAnsi"/>
          <w:b/>
        </w:rPr>
        <w:t xml:space="preserve">Kapitálové výdaje zařazené v kapitolách </w:t>
      </w:r>
      <w:r w:rsidRPr="000E17A8">
        <w:rPr>
          <w:rFonts w:asciiTheme="minorHAnsi" w:hAnsiTheme="minorHAnsi"/>
          <w:b/>
          <w:bCs/>
        </w:rPr>
        <w:t>– 40 000,00 tis. Kč</w:t>
      </w:r>
    </w:p>
    <w:p w:rsidR="00841657" w:rsidRPr="000E17A8" w:rsidRDefault="00841657" w:rsidP="000E17A8">
      <w:pPr>
        <w:spacing w:line="240" w:lineRule="auto"/>
        <w:jc w:val="both"/>
        <w:rPr>
          <w:rFonts w:asciiTheme="minorHAnsi" w:hAnsiTheme="minorHAnsi"/>
          <w:bCs/>
        </w:rPr>
      </w:pPr>
      <w:r w:rsidRPr="000E17A8">
        <w:rPr>
          <w:rFonts w:asciiTheme="minorHAnsi" w:hAnsiTheme="minorHAnsi"/>
          <w:bCs/>
        </w:rPr>
        <w:t>Finančních prostředky alokované na kapitole 07 – Zdravotnictví ve výši 25 000,00 tis. Kč budou použity na „Program 2022 - ZDRAVOTNICTVÍ pro poskytování investičních dotací z rozpočtu Středočeského kraje poskytovatelům akutní lůžkové péče na území Středočeského kraje“. Program přispěje k podpoře a zvyšování kvality akutní lůžkové péče na výše uvedeném území. Podpora v rámci programu bude určena výhradně pro poskytovatele, které nezřizuje či nezakládá kraj, tedy se bude jednat o městská či soukromá zařízení. V případě těchto zařízení je tento program jedním ze základních nástrojů, jak kraj může tato zařízení podpořit, neboť tato zařízení jsou nedílnou součástí sítě poskytovatelů a poskytují občanům Středočeského kraje široké spektrum péče. Podporovanými aktivitami budou zejména investice na pořízení přístrojového vybavení související s poskytováním akutní lůžkové péče či na výdaje související s výstavbou nebo rekonstrukcí objektů, ve kterých je poskytována akutní lůžková péče.</w:t>
      </w:r>
    </w:p>
    <w:p w:rsidR="00841657" w:rsidRPr="000E17A8" w:rsidRDefault="00841657" w:rsidP="000E17A8">
      <w:pPr>
        <w:spacing w:line="240" w:lineRule="auto"/>
        <w:jc w:val="both"/>
        <w:rPr>
          <w:rFonts w:asciiTheme="minorHAnsi" w:hAnsiTheme="minorHAnsi"/>
        </w:rPr>
      </w:pPr>
      <w:r w:rsidRPr="000E17A8">
        <w:rPr>
          <w:rFonts w:asciiTheme="minorHAnsi" w:hAnsiTheme="minorHAnsi"/>
          <w:bCs/>
        </w:rPr>
        <w:t xml:space="preserve">Prostředky ve výši 10 000,00 tis. Kč alokované na kapitole 10 – Životní prostředí a zemědělství jsou určené na </w:t>
      </w:r>
      <w:r w:rsidRPr="000E17A8">
        <w:rPr>
          <w:rFonts w:asciiTheme="minorHAnsi" w:hAnsiTheme="minorHAnsi"/>
        </w:rPr>
        <w:t>kofinancování investiční akce Rekonstrukce vodovodní shybky skupinového vodovodu KSKM u obce Obříství. Tento skupinový vodovod propojuje klíčový zdroj soustavy (prameniště Mělnická Vrutice) na pravém břehu Labe se spotřebištěm na levém břehu Labe. Podchod pod Labem je kritické místo, shybka je v nevyhovujícím technickém stavu. Usnesením Vlády ČR ze dne 6. 1. 2020 o návrhu opatření pro zmírnění negativních dopadů sucha a nedostatku vody byla schválena investice společnosti Vodárny Kladno – Mělník, a.s.</w:t>
      </w:r>
    </w:p>
    <w:p w:rsidR="00841657" w:rsidRPr="000E17A8" w:rsidRDefault="00841657" w:rsidP="000E17A8">
      <w:pPr>
        <w:spacing w:line="240" w:lineRule="auto"/>
        <w:jc w:val="both"/>
        <w:rPr>
          <w:rFonts w:asciiTheme="minorHAnsi" w:hAnsiTheme="minorHAnsi"/>
        </w:rPr>
      </w:pPr>
      <w:r w:rsidRPr="000E17A8">
        <w:rPr>
          <w:rFonts w:asciiTheme="minorHAnsi" w:hAnsiTheme="minorHAnsi"/>
          <w:bCs/>
        </w:rPr>
        <w:t xml:space="preserve">Dále se jedná o </w:t>
      </w:r>
      <w:r w:rsidRPr="000E17A8">
        <w:rPr>
          <w:rFonts w:asciiTheme="minorHAnsi" w:hAnsiTheme="minorHAnsi"/>
        </w:rPr>
        <w:t>finančních prostředky alokované na kapitole 25 – Bezpečnost a prevence ve výši 5 000,00 tis. Kč, které budou použity jako dar pro Hasičský záchranný sbor Středočeského kraje na investiční výdaje v souladu s § 27, odst. 3, písm. b) zákonem č. 133/1985 Sb., o požární ochraně, ve znění pozdějších předpisů, který stanoví, že kraj přispívá Hasičskému záchrannému sboru na zabezpečení plošného pokrytí daného území kraje jednotkami požární ochrany.</w:t>
      </w:r>
    </w:p>
    <w:p w:rsidR="00841657" w:rsidRPr="000E17A8" w:rsidRDefault="00841657" w:rsidP="000E17A8">
      <w:pPr>
        <w:spacing w:line="240" w:lineRule="auto"/>
        <w:jc w:val="both"/>
        <w:rPr>
          <w:rFonts w:asciiTheme="minorHAnsi" w:hAnsiTheme="minorHAnsi"/>
        </w:rPr>
      </w:pPr>
    </w:p>
    <w:p w:rsidR="00841657" w:rsidRPr="000E17A8" w:rsidRDefault="00841657" w:rsidP="000E17A8">
      <w:pPr>
        <w:pStyle w:val="odrazky"/>
        <w:numPr>
          <w:ilvl w:val="0"/>
          <w:numId w:val="0"/>
        </w:numPr>
        <w:jc w:val="both"/>
        <w:rPr>
          <w:rFonts w:asciiTheme="minorHAnsi" w:hAnsiTheme="minorHAnsi"/>
          <w:b/>
        </w:rPr>
      </w:pPr>
      <w:r w:rsidRPr="000E17A8">
        <w:rPr>
          <w:rFonts w:asciiTheme="minorHAnsi" w:hAnsiTheme="minorHAnsi"/>
          <w:b/>
        </w:rPr>
        <w:t xml:space="preserve">Kapitálové (investiční) výdaje zařazené v Zásobníku investic </w:t>
      </w:r>
      <w:r w:rsidRPr="000E17A8">
        <w:rPr>
          <w:rFonts w:asciiTheme="minorHAnsi" w:hAnsiTheme="minorHAnsi"/>
          <w:b/>
          <w:bCs/>
        </w:rPr>
        <w:t>– 2 290 000,00 tis. Kč</w:t>
      </w:r>
    </w:p>
    <w:p w:rsidR="00841657" w:rsidRPr="000E17A8" w:rsidRDefault="00841657" w:rsidP="000E17A8">
      <w:pPr>
        <w:pStyle w:val="odrazky"/>
        <w:numPr>
          <w:ilvl w:val="0"/>
          <w:numId w:val="0"/>
        </w:numPr>
        <w:jc w:val="both"/>
        <w:rPr>
          <w:rFonts w:asciiTheme="minorHAnsi" w:hAnsiTheme="minorHAnsi"/>
          <w:szCs w:val="24"/>
        </w:rPr>
      </w:pPr>
      <w:r w:rsidRPr="000E17A8">
        <w:rPr>
          <w:rFonts w:asciiTheme="minorHAnsi" w:hAnsiTheme="minorHAnsi"/>
          <w:szCs w:val="24"/>
        </w:rPr>
        <w:lastRenderedPageBreak/>
        <w:t xml:space="preserve">Čerpání kapitálových výdajů vychází z aktuálně schváleného Zásobníku investic. Zásobník investic je členěn dle rozpočtových kapitol, v jejichž gesci jsou investiční akce realizovány. Jedná se jak o akce pokračující z minulých let, tak o nové akce. Výdaje jsou směrovány do všech oblastí působnosti kraje. </w:t>
      </w:r>
    </w:p>
    <w:p w:rsidR="00841657" w:rsidRPr="000E17A8" w:rsidRDefault="00841657" w:rsidP="000E17A8">
      <w:pPr>
        <w:pStyle w:val="odrazky"/>
        <w:numPr>
          <w:ilvl w:val="0"/>
          <w:numId w:val="0"/>
        </w:numPr>
        <w:jc w:val="both"/>
        <w:rPr>
          <w:rFonts w:asciiTheme="minorHAnsi" w:hAnsiTheme="minorHAnsi"/>
          <w:szCs w:val="24"/>
        </w:rPr>
      </w:pPr>
      <w:r w:rsidRPr="000E17A8">
        <w:rPr>
          <w:rFonts w:asciiTheme="minorHAnsi" w:hAnsiTheme="minorHAnsi"/>
          <w:szCs w:val="24"/>
        </w:rPr>
        <w:t xml:space="preserve">Finančně budou investiční akce v roce 2022 kryty z vlastních zdrojů rozpočtu Středočeského kraje a přijatého úvěru od Evropské investiční banky. </w:t>
      </w:r>
    </w:p>
    <w:p w:rsidR="00841657" w:rsidRPr="000E17A8" w:rsidRDefault="00841657" w:rsidP="000E17A8">
      <w:pPr>
        <w:pStyle w:val="odrazky"/>
        <w:numPr>
          <w:ilvl w:val="0"/>
          <w:numId w:val="0"/>
        </w:numPr>
        <w:jc w:val="both"/>
        <w:rPr>
          <w:rFonts w:asciiTheme="minorHAnsi" w:hAnsiTheme="minorHAnsi"/>
          <w:color w:val="FF0000"/>
          <w:sz w:val="24"/>
          <w:szCs w:val="24"/>
        </w:rPr>
      </w:pPr>
      <w:r w:rsidRPr="000E17A8">
        <w:rPr>
          <w:rFonts w:asciiTheme="minorHAnsi" w:hAnsiTheme="minorHAnsi"/>
          <w:szCs w:val="24"/>
        </w:rPr>
        <w:t>Objem vlastních zdrojů v roce 2022 činí 500 000,00 tis. Kč a je vyšší oproti schválenému rozpočtu roku 2021 o 290 500,00 tis. Kč</w:t>
      </w:r>
      <w:r w:rsidRPr="000E17A8">
        <w:rPr>
          <w:rFonts w:asciiTheme="minorHAnsi" w:hAnsiTheme="minorHAnsi"/>
        </w:rPr>
        <w:t>.</w:t>
      </w:r>
      <w:r w:rsidRPr="000E17A8">
        <w:rPr>
          <w:rFonts w:asciiTheme="minorHAnsi" w:hAnsiTheme="minorHAnsi"/>
          <w:color w:val="FF0000"/>
          <w:szCs w:val="24"/>
        </w:rPr>
        <w:t xml:space="preserve"> </w:t>
      </w:r>
    </w:p>
    <w:p w:rsidR="00841657" w:rsidRPr="000E17A8" w:rsidRDefault="00841657" w:rsidP="000E17A8">
      <w:pPr>
        <w:pStyle w:val="odrazky"/>
        <w:numPr>
          <w:ilvl w:val="0"/>
          <w:numId w:val="0"/>
        </w:numPr>
        <w:jc w:val="both"/>
        <w:rPr>
          <w:rFonts w:asciiTheme="minorHAnsi" w:hAnsiTheme="minorHAnsi"/>
          <w:szCs w:val="24"/>
        </w:rPr>
      </w:pPr>
      <w:r w:rsidRPr="000E17A8">
        <w:rPr>
          <w:rFonts w:asciiTheme="minorHAnsi" w:hAnsiTheme="minorHAnsi"/>
        </w:rPr>
        <w:t xml:space="preserve">Objem úvěrových zdrojů z EIB určených na krytí kapitálových výdajů je předpokládán v objemu 1 790 000,00 tis. Kč. Úvěrové prostředky budou použity na financování investičních projektů Středočeského kraje, jeho příspěvkových organizací a akciových společností evidovaných v seznamu registrovaných projektů schválených EIB. Jedná se o projekty z oblasti zdravotnictví, sociální péče, silniční dopravy, školství a oblasti energetických úspor.   </w:t>
      </w:r>
    </w:p>
    <w:p w:rsidR="00841657" w:rsidRPr="000E17A8" w:rsidRDefault="00841657" w:rsidP="000E17A8">
      <w:pPr>
        <w:pStyle w:val="odrazky"/>
        <w:numPr>
          <w:ilvl w:val="0"/>
          <w:numId w:val="0"/>
        </w:numPr>
        <w:jc w:val="both"/>
        <w:rPr>
          <w:rFonts w:asciiTheme="minorHAnsi" w:hAnsiTheme="minorHAnsi"/>
          <w:szCs w:val="24"/>
        </w:rPr>
      </w:pPr>
      <w:r w:rsidRPr="000E17A8">
        <w:rPr>
          <w:rFonts w:asciiTheme="minorHAnsi" w:hAnsiTheme="minorHAnsi"/>
          <w:szCs w:val="24"/>
        </w:rPr>
        <w:t>Čerpání kapitálových prostředků bude realizováno postupně v průběhu roku 2022. Způsob řízení financování investičních akcí vedených v Zásobníku investic je realizován prostřednictvím limitů přidělených jednotlivým věcně příslušným odborům. Limity níže uvedené jsou nastaveny pouze pro vlastní zdroje kraje, které jsou kryty vlastními příjmy kraje (neobsahují úvěrové prostředky z EIB). Limity a jejich případné změny schvaluje rada kraje v samostatném materiálu.</w:t>
      </w:r>
    </w:p>
    <w:p w:rsidR="00841657" w:rsidRPr="000E17A8" w:rsidRDefault="00841657" w:rsidP="000E17A8">
      <w:pPr>
        <w:pStyle w:val="odrazky"/>
        <w:numPr>
          <w:ilvl w:val="0"/>
          <w:numId w:val="0"/>
        </w:numPr>
        <w:jc w:val="both"/>
        <w:rPr>
          <w:rFonts w:asciiTheme="minorHAnsi" w:hAnsiTheme="minorHAnsi"/>
          <w:szCs w:val="24"/>
          <w:highlight w:val="yellow"/>
        </w:rPr>
      </w:pPr>
    </w:p>
    <w:p w:rsidR="00841657" w:rsidRPr="000E17A8" w:rsidRDefault="00841657" w:rsidP="000E17A8">
      <w:pPr>
        <w:pStyle w:val="odrazky"/>
        <w:numPr>
          <w:ilvl w:val="0"/>
          <w:numId w:val="0"/>
        </w:numPr>
        <w:jc w:val="both"/>
        <w:rPr>
          <w:rFonts w:asciiTheme="minorHAnsi" w:hAnsiTheme="minorHAnsi"/>
          <w:szCs w:val="24"/>
        </w:rPr>
      </w:pPr>
      <w:r w:rsidRPr="000E17A8">
        <w:rPr>
          <w:rFonts w:asciiTheme="minorHAnsi" w:hAnsiTheme="minorHAnsi"/>
          <w:szCs w:val="24"/>
        </w:rPr>
        <w:t>Limity kapitol pro čerpání vlastních zdrojů kraje ze Zásobníku investic jsou stanoveny v této výši (v tis. Kč):</w:t>
      </w:r>
    </w:p>
    <w:tbl>
      <w:tblPr>
        <w:tblW w:w="6860" w:type="dxa"/>
        <w:tblInd w:w="1267" w:type="dxa"/>
        <w:tblLayout w:type="fixed"/>
        <w:tblCellMar>
          <w:left w:w="70" w:type="dxa"/>
          <w:right w:w="70" w:type="dxa"/>
        </w:tblCellMar>
        <w:tblLook w:val="04A0" w:firstRow="1" w:lastRow="0" w:firstColumn="1" w:lastColumn="0" w:noHBand="0" w:noVBand="1"/>
      </w:tblPr>
      <w:tblGrid>
        <w:gridCol w:w="4300"/>
        <w:gridCol w:w="2560"/>
      </w:tblGrid>
      <w:tr w:rsidR="00841657" w:rsidRPr="000E17A8" w:rsidTr="00833FE7">
        <w:trPr>
          <w:trHeight w:val="432"/>
        </w:trPr>
        <w:tc>
          <w:tcPr>
            <w:tcW w:w="430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841657" w:rsidRPr="000E17A8" w:rsidRDefault="00841657" w:rsidP="000E17A8">
            <w:pPr>
              <w:spacing w:line="240" w:lineRule="auto"/>
              <w:ind w:left="1055" w:hanging="1055"/>
              <w:jc w:val="center"/>
              <w:rPr>
                <w:rFonts w:asciiTheme="minorHAnsi" w:hAnsiTheme="minorHAnsi"/>
                <w:b/>
                <w:bCs/>
                <w:szCs w:val="22"/>
              </w:rPr>
            </w:pPr>
            <w:r w:rsidRPr="000E17A8">
              <w:rPr>
                <w:rFonts w:asciiTheme="minorHAnsi" w:hAnsiTheme="minorHAnsi"/>
                <w:b/>
                <w:bCs/>
                <w:szCs w:val="22"/>
              </w:rPr>
              <w:t>Kapitola</w:t>
            </w:r>
          </w:p>
        </w:tc>
        <w:tc>
          <w:tcPr>
            <w:tcW w:w="2560" w:type="dxa"/>
            <w:tcBorders>
              <w:top w:val="single" w:sz="8" w:space="0" w:color="auto"/>
              <w:left w:val="nil"/>
              <w:bottom w:val="single" w:sz="8" w:space="0" w:color="auto"/>
              <w:right w:val="single" w:sz="8" w:space="0" w:color="auto"/>
            </w:tcBorders>
            <w:shd w:val="clear" w:color="auto" w:fill="auto"/>
            <w:noWrap/>
            <w:vAlign w:val="center"/>
            <w:hideMark/>
          </w:tcPr>
          <w:p w:rsidR="00841657" w:rsidRPr="000E17A8" w:rsidRDefault="00841657" w:rsidP="000E17A8">
            <w:pPr>
              <w:spacing w:line="240" w:lineRule="auto"/>
              <w:jc w:val="center"/>
              <w:rPr>
                <w:rFonts w:asciiTheme="minorHAnsi" w:hAnsiTheme="minorHAnsi"/>
                <w:b/>
                <w:bCs/>
                <w:szCs w:val="22"/>
              </w:rPr>
            </w:pPr>
            <w:r w:rsidRPr="000E17A8">
              <w:rPr>
                <w:rFonts w:asciiTheme="minorHAnsi" w:hAnsiTheme="minorHAnsi"/>
                <w:b/>
                <w:bCs/>
                <w:szCs w:val="22"/>
              </w:rPr>
              <w:t>Limit pro roky 2022</w:t>
            </w:r>
          </w:p>
        </w:tc>
      </w:tr>
      <w:tr w:rsidR="00841657" w:rsidRPr="000E17A8" w:rsidTr="00833FE7">
        <w:trPr>
          <w:trHeight w:val="300"/>
        </w:trPr>
        <w:tc>
          <w:tcPr>
            <w:tcW w:w="4300" w:type="dxa"/>
            <w:tcBorders>
              <w:top w:val="nil"/>
              <w:left w:val="single" w:sz="8" w:space="0" w:color="auto"/>
              <w:bottom w:val="single" w:sz="4" w:space="0" w:color="auto"/>
              <w:right w:val="single" w:sz="4" w:space="0" w:color="auto"/>
            </w:tcBorders>
            <w:shd w:val="clear" w:color="auto" w:fill="auto"/>
            <w:noWrap/>
            <w:vAlign w:val="bottom"/>
            <w:hideMark/>
          </w:tcPr>
          <w:p w:rsidR="00841657" w:rsidRPr="000E17A8" w:rsidRDefault="00841657" w:rsidP="000E17A8">
            <w:pPr>
              <w:spacing w:line="240" w:lineRule="auto"/>
              <w:rPr>
                <w:rFonts w:asciiTheme="minorHAnsi" w:hAnsiTheme="minorHAnsi"/>
                <w:szCs w:val="22"/>
              </w:rPr>
            </w:pPr>
            <w:r w:rsidRPr="000E17A8">
              <w:rPr>
                <w:rFonts w:asciiTheme="minorHAnsi" w:hAnsiTheme="minorHAnsi"/>
                <w:szCs w:val="22"/>
              </w:rPr>
              <w:t>01 – Činnost Zastupitelstva</w:t>
            </w:r>
          </w:p>
        </w:tc>
        <w:tc>
          <w:tcPr>
            <w:tcW w:w="2560" w:type="dxa"/>
            <w:tcBorders>
              <w:top w:val="nil"/>
              <w:left w:val="nil"/>
              <w:bottom w:val="single" w:sz="4" w:space="0" w:color="auto"/>
              <w:right w:val="single" w:sz="8" w:space="0" w:color="auto"/>
            </w:tcBorders>
            <w:shd w:val="clear" w:color="auto" w:fill="auto"/>
            <w:noWrap/>
            <w:vAlign w:val="bottom"/>
          </w:tcPr>
          <w:p w:rsidR="00841657" w:rsidRPr="000E17A8" w:rsidRDefault="00841657" w:rsidP="000E17A8">
            <w:pPr>
              <w:spacing w:line="240" w:lineRule="auto"/>
              <w:jc w:val="right"/>
              <w:rPr>
                <w:rFonts w:asciiTheme="minorHAnsi" w:hAnsiTheme="minorHAnsi"/>
                <w:szCs w:val="22"/>
              </w:rPr>
            </w:pPr>
            <w:r w:rsidRPr="000E17A8">
              <w:rPr>
                <w:rFonts w:asciiTheme="minorHAnsi" w:hAnsiTheme="minorHAnsi"/>
                <w:szCs w:val="22"/>
              </w:rPr>
              <w:t>0</w:t>
            </w:r>
          </w:p>
        </w:tc>
      </w:tr>
      <w:tr w:rsidR="00841657" w:rsidRPr="000E17A8" w:rsidTr="00833FE7">
        <w:trPr>
          <w:trHeight w:val="300"/>
        </w:trPr>
        <w:tc>
          <w:tcPr>
            <w:tcW w:w="4300" w:type="dxa"/>
            <w:tcBorders>
              <w:top w:val="nil"/>
              <w:left w:val="single" w:sz="8" w:space="0" w:color="auto"/>
              <w:bottom w:val="single" w:sz="4" w:space="0" w:color="auto"/>
              <w:right w:val="single" w:sz="4" w:space="0" w:color="auto"/>
            </w:tcBorders>
            <w:shd w:val="clear" w:color="auto" w:fill="auto"/>
            <w:noWrap/>
            <w:vAlign w:val="bottom"/>
            <w:hideMark/>
          </w:tcPr>
          <w:p w:rsidR="00841657" w:rsidRPr="000E17A8" w:rsidRDefault="00841657" w:rsidP="000E17A8">
            <w:pPr>
              <w:spacing w:line="240" w:lineRule="auto"/>
              <w:rPr>
                <w:rFonts w:asciiTheme="minorHAnsi" w:hAnsiTheme="minorHAnsi"/>
                <w:szCs w:val="22"/>
              </w:rPr>
            </w:pPr>
            <w:r w:rsidRPr="000E17A8">
              <w:rPr>
                <w:rFonts w:asciiTheme="minorHAnsi" w:hAnsiTheme="minorHAnsi"/>
                <w:szCs w:val="22"/>
              </w:rPr>
              <w:t>02 – Činnost Krajského úřadu</w:t>
            </w:r>
          </w:p>
        </w:tc>
        <w:tc>
          <w:tcPr>
            <w:tcW w:w="2560" w:type="dxa"/>
            <w:tcBorders>
              <w:top w:val="nil"/>
              <w:left w:val="nil"/>
              <w:bottom w:val="single" w:sz="4" w:space="0" w:color="auto"/>
              <w:right w:val="single" w:sz="8" w:space="0" w:color="auto"/>
            </w:tcBorders>
            <w:shd w:val="clear" w:color="auto" w:fill="auto"/>
            <w:noWrap/>
            <w:vAlign w:val="bottom"/>
            <w:hideMark/>
          </w:tcPr>
          <w:p w:rsidR="00841657" w:rsidRPr="000E17A8" w:rsidRDefault="00841657" w:rsidP="000E17A8">
            <w:pPr>
              <w:spacing w:line="240" w:lineRule="auto"/>
              <w:jc w:val="right"/>
              <w:rPr>
                <w:rFonts w:asciiTheme="minorHAnsi" w:hAnsiTheme="minorHAnsi"/>
                <w:szCs w:val="22"/>
              </w:rPr>
            </w:pPr>
            <w:r w:rsidRPr="000E17A8">
              <w:rPr>
                <w:rFonts w:asciiTheme="minorHAnsi" w:hAnsiTheme="minorHAnsi"/>
                <w:szCs w:val="22"/>
              </w:rPr>
              <w:t>13 000</w:t>
            </w:r>
          </w:p>
        </w:tc>
      </w:tr>
      <w:tr w:rsidR="00841657" w:rsidRPr="000E17A8" w:rsidTr="00833FE7">
        <w:trPr>
          <w:trHeight w:val="300"/>
        </w:trPr>
        <w:tc>
          <w:tcPr>
            <w:tcW w:w="4300" w:type="dxa"/>
            <w:tcBorders>
              <w:top w:val="nil"/>
              <w:left w:val="single" w:sz="8" w:space="0" w:color="auto"/>
              <w:bottom w:val="single" w:sz="4" w:space="0" w:color="auto"/>
              <w:right w:val="single" w:sz="4" w:space="0" w:color="auto"/>
            </w:tcBorders>
            <w:shd w:val="clear" w:color="auto" w:fill="auto"/>
            <w:noWrap/>
            <w:vAlign w:val="bottom"/>
            <w:hideMark/>
          </w:tcPr>
          <w:p w:rsidR="00841657" w:rsidRPr="000E17A8" w:rsidRDefault="00841657" w:rsidP="000E17A8">
            <w:pPr>
              <w:spacing w:line="240" w:lineRule="auto"/>
              <w:rPr>
                <w:rFonts w:asciiTheme="minorHAnsi" w:hAnsiTheme="minorHAnsi"/>
                <w:szCs w:val="22"/>
              </w:rPr>
            </w:pPr>
            <w:r w:rsidRPr="000E17A8">
              <w:rPr>
                <w:rFonts w:asciiTheme="minorHAnsi" w:hAnsiTheme="minorHAnsi"/>
                <w:szCs w:val="22"/>
              </w:rPr>
              <w:t>03 – Informatika</w:t>
            </w:r>
          </w:p>
        </w:tc>
        <w:tc>
          <w:tcPr>
            <w:tcW w:w="2560" w:type="dxa"/>
            <w:tcBorders>
              <w:top w:val="nil"/>
              <w:left w:val="nil"/>
              <w:bottom w:val="single" w:sz="4" w:space="0" w:color="auto"/>
              <w:right w:val="single" w:sz="8" w:space="0" w:color="auto"/>
            </w:tcBorders>
            <w:shd w:val="clear" w:color="auto" w:fill="auto"/>
            <w:noWrap/>
            <w:vAlign w:val="bottom"/>
            <w:hideMark/>
          </w:tcPr>
          <w:p w:rsidR="00841657" w:rsidRPr="000E17A8" w:rsidRDefault="00841657" w:rsidP="000E17A8">
            <w:pPr>
              <w:spacing w:line="240" w:lineRule="auto"/>
              <w:jc w:val="right"/>
              <w:rPr>
                <w:rFonts w:asciiTheme="minorHAnsi" w:hAnsiTheme="minorHAnsi"/>
                <w:szCs w:val="22"/>
              </w:rPr>
            </w:pPr>
            <w:r w:rsidRPr="000E17A8">
              <w:rPr>
                <w:rFonts w:asciiTheme="minorHAnsi" w:hAnsiTheme="minorHAnsi"/>
                <w:szCs w:val="22"/>
              </w:rPr>
              <w:t>25 000</w:t>
            </w:r>
          </w:p>
        </w:tc>
      </w:tr>
      <w:tr w:rsidR="00841657" w:rsidRPr="000E17A8" w:rsidTr="00833FE7">
        <w:trPr>
          <w:trHeight w:val="300"/>
        </w:trPr>
        <w:tc>
          <w:tcPr>
            <w:tcW w:w="4300" w:type="dxa"/>
            <w:tcBorders>
              <w:top w:val="nil"/>
              <w:left w:val="single" w:sz="8" w:space="0" w:color="auto"/>
              <w:bottom w:val="single" w:sz="4" w:space="0" w:color="auto"/>
              <w:right w:val="single" w:sz="4" w:space="0" w:color="auto"/>
            </w:tcBorders>
            <w:shd w:val="clear" w:color="auto" w:fill="auto"/>
            <w:noWrap/>
            <w:vAlign w:val="bottom"/>
            <w:hideMark/>
          </w:tcPr>
          <w:p w:rsidR="00841657" w:rsidRPr="000E17A8" w:rsidRDefault="00841657" w:rsidP="000E17A8">
            <w:pPr>
              <w:spacing w:line="240" w:lineRule="auto"/>
              <w:rPr>
                <w:rFonts w:asciiTheme="minorHAnsi" w:hAnsiTheme="minorHAnsi"/>
                <w:szCs w:val="22"/>
              </w:rPr>
            </w:pPr>
            <w:r w:rsidRPr="000E17A8">
              <w:rPr>
                <w:rFonts w:asciiTheme="minorHAnsi" w:hAnsiTheme="minorHAnsi"/>
                <w:szCs w:val="22"/>
              </w:rPr>
              <w:t>04 – Doprava</w:t>
            </w:r>
          </w:p>
        </w:tc>
        <w:tc>
          <w:tcPr>
            <w:tcW w:w="2560" w:type="dxa"/>
            <w:tcBorders>
              <w:top w:val="nil"/>
              <w:left w:val="nil"/>
              <w:bottom w:val="single" w:sz="4" w:space="0" w:color="auto"/>
              <w:right w:val="single" w:sz="8" w:space="0" w:color="auto"/>
            </w:tcBorders>
            <w:shd w:val="clear" w:color="auto" w:fill="auto"/>
            <w:noWrap/>
            <w:vAlign w:val="bottom"/>
            <w:hideMark/>
          </w:tcPr>
          <w:p w:rsidR="00841657" w:rsidRPr="000E17A8" w:rsidRDefault="00841657" w:rsidP="000E17A8">
            <w:pPr>
              <w:spacing w:line="240" w:lineRule="auto"/>
              <w:jc w:val="right"/>
              <w:rPr>
                <w:rFonts w:asciiTheme="minorHAnsi" w:hAnsiTheme="minorHAnsi"/>
                <w:szCs w:val="22"/>
              </w:rPr>
            </w:pPr>
            <w:r w:rsidRPr="000E17A8">
              <w:rPr>
                <w:rFonts w:asciiTheme="minorHAnsi" w:hAnsiTheme="minorHAnsi"/>
                <w:szCs w:val="22"/>
              </w:rPr>
              <w:t>260 000</w:t>
            </w:r>
          </w:p>
        </w:tc>
      </w:tr>
      <w:tr w:rsidR="00841657" w:rsidRPr="000E17A8" w:rsidTr="00833FE7">
        <w:trPr>
          <w:trHeight w:val="300"/>
        </w:trPr>
        <w:tc>
          <w:tcPr>
            <w:tcW w:w="4300" w:type="dxa"/>
            <w:tcBorders>
              <w:top w:val="nil"/>
              <w:left w:val="single" w:sz="8" w:space="0" w:color="auto"/>
              <w:bottom w:val="single" w:sz="4" w:space="0" w:color="auto"/>
              <w:right w:val="single" w:sz="4" w:space="0" w:color="auto"/>
            </w:tcBorders>
            <w:shd w:val="clear" w:color="auto" w:fill="auto"/>
            <w:noWrap/>
            <w:vAlign w:val="bottom"/>
            <w:hideMark/>
          </w:tcPr>
          <w:p w:rsidR="00841657" w:rsidRPr="000E17A8" w:rsidRDefault="00841657" w:rsidP="000E17A8">
            <w:pPr>
              <w:spacing w:line="240" w:lineRule="auto"/>
              <w:rPr>
                <w:rFonts w:asciiTheme="minorHAnsi" w:hAnsiTheme="minorHAnsi"/>
                <w:szCs w:val="22"/>
              </w:rPr>
            </w:pPr>
            <w:r w:rsidRPr="000E17A8">
              <w:rPr>
                <w:rFonts w:asciiTheme="minorHAnsi" w:hAnsiTheme="minorHAnsi"/>
                <w:szCs w:val="22"/>
              </w:rPr>
              <w:t>05 – Školství</w:t>
            </w:r>
          </w:p>
        </w:tc>
        <w:tc>
          <w:tcPr>
            <w:tcW w:w="2560" w:type="dxa"/>
            <w:tcBorders>
              <w:top w:val="nil"/>
              <w:left w:val="nil"/>
              <w:bottom w:val="single" w:sz="4" w:space="0" w:color="auto"/>
              <w:right w:val="single" w:sz="8" w:space="0" w:color="auto"/>
            </w:tcBorders>
            <w:shd w:val="clear" w:color="auto" w:fill="auto"/>
            <w:noWrap/>
            <w:vAlign w:val="bottom"/>
            <w:hideMark/>
          </w:tcPr>
          <w:p w:rsidR="00841657" w:rsidRPr="000E17A8" w:rsidRDefault="00841657" w:rsidP="000E17A8">
            <w:pPr>
              <w:spacing w:line="240" w:lineRule="auto"/>
              <w:jc w:val="right"/>
              <w:rPr>
                <w:rFonts w:asciiTheme="minorHAnsi" w:hAnsiTheme="minorHAnsi"/>
                <w:szCs w:val="22"/>
              </w:rPr>
            </w:pPr>
            <w:r w:rsidRPr="000E17A8">
              <w:rPr>
                <w:rFonts w:asciiTheme="minorHAnsi" w:hAnsiTheme="minorHAnsi"/>
                <w:szCs w:val="22"/>
              </w:rPr>
              <w:t>75 000</w:t>
            </w:r>
          </w:p>
        </w:tc>
      </w:tr>
      <w:tr w:rsidR="00841657" w:rsidRPr="000E17A8" w:rsidTr="00833FE7">
        <w:trPr>
          <w:trHeight w:val="300"/>
        </w:trPr>
        <w:tc>
          <w:tcPr>
            <w:tcW w:w="4300" w:type="dxa"/>
            <w:tcBorders>
              <w:top w:val="nil"/>
              <w:left w:val="single" w:sz="8" w:space="0" w:color="auto"/>
              <w:bottom w:val="single" w:sz="4" w:space="0" w:color="auto"/>
              <w:right w:val="single" w:sz="4" w:space="0" w:color="auto"/>
            </w:tcBorders>
            <w:shd w:val="clear" w:color="auto" w:fill="auto"/>
            <w:noWrap/>
            <w:vAlign w:val="bottom"/>
            <w:hideMark/>
          </w:tcPr>
          <w:p w:rsidR="00841657" w:rsidRPr="000E17A8" w:rsidRDefault="00841657" w:rsidP="000E17A8">
            <w:pPr>
              <w:spacing w:line="240" w:lineRule="auto"/>
              <w:rPr>
                <w:rFonts w:asciiTheme="minorHAnsi" w:hAnsiTheme="minorHAnsi"/>
                <w:szCs w:val="22"/>
              </w:rPr>
            </w:pPr>
            <w:r w:rsidRPr="000E17A8">
              <w:rPr>
                <w:rFonts w:asciiTheme="minorHAnsi" w:hAnsiTheme="minorHAnsi"/>
                <w:szCs w:val="22"/>
              </w:rPr>
              <w:t>06 – Kultura a památková péče</w:t>
            </w:r>
          </w:p>
        </w:tc>
        <w:tc>
          <w:tcPr>
            <w:tcW w:w="2560" w:type="dxa"/>
            <w:tcBorders>
              <w:top w:val="nil"/>
              <w:left w:val="nil"/>
              <w:bottom w:val="single" w:sz="4" w:space="0" w:color="auto"/>
              <w:right w:val="single" w:sz="8" w:space="0" w:color="auto"/>
            </w:tcBorders>
            <w:shd w:val="clear" w:color="auto" w:fill="auto"/>
            <w:noWrap/>
            <w:vAlign w:val="bottom"/>
          </w:tcPr>
          <w:p w:rsidR="00841657" w:rsidRPr="000E17A8" w:rsidRDefault="00841657" w:rsidP="000E17A8">
            <w:pPr>
              <w:spacing w:line="240" w:lineRule="auto"/>
              <w:jc w:val="right"/>
              <w:rPr>
                <w:rFonts w:asciiTheme="minorHAnsi" w:hAnsiTheme="minorHAnsi"/>
                <w:szCs w:val="22"/>
              </w:rPr>
            </w:pPr>
            <w:r w:rsidRPr="000E17A8">
              <w:rPr>
                <w:rFonts w:asciiTheme="minorHAnsi" w:hAnsiTheme="minorHAnsi"/>
                <w:szCs w:val="22"/>
              </w:rPr>
              <w:t>36 000</w:t>
            </w:r>
          </w:p>
        </w:tc>
      </w:tr>
      <w:tr w:rsidR="00841657" w:rsidRPr="000E17A8" w:rsidTr="00833FE7">
        <w:trPr>
          <w:trHeight w:val="300"/>
        </w:trPr>
        <w:tc>
          <w:tcPr>
            <w:tcW w:w="4300" w:type="dxa"/>
            <w:tcBorders>
              <w:top w:val="nil"/>
              <w:left w:val="single" w:sz="8" w:space="0" w:color="auto"/>
              <w:bottom w:val="single" w:sz="4" w:space="0" w:color="auto"/>
              <w:right w:val="single" w:sz="4" w:space="0" w:color="auto"/>
            </w:tcBorders>
            <w:shd w:val="clear" w:color="auto" w:fill="auto"/>
            <w:noWrap/>
            <w:vAlign w:val="bottom"/>
            <w:hideMark/>
          </w:tcPr>
          <w:p w:rsidR="00841657" w:rsidRPr="000E17A8" w:rsidRDefault="00841657" w:rsidP="000E17A8">
            <w:pPr>
              <w:spacing w:line="240" w:lineRule="auto"/>
              <w:rPr>
                <w:rFonts w:asciiTheme="minorHAnsi" w:hAnsiTheme="minorHAnsi"/>
                <w:szCs w:val="22"/>
              </w:rPr>
            </w:pPr>
            <w:r w:rsidRPr="000E17A8">
              <w:rPr>
                <w:rFonts w:asciiTheme="minorHAnsi" w:hAnsiTheme="minorHAnsi"/>
                <w:szCs w:val="22"/>
              </w:rPr>
              <w:t xml:space="preserve">07 – Zdravotnictví </w:t>
            </w:r>
          </w:p>
        </w:tc>
        <w:tc>
          <w:tcPr>
            <w:tcW w:w="2560" w:type="dxa"/>
            <w:tcBorders>
              <w:top w:val="nil"/>
              <w:left w:val="nil"/>
              <w:bottom w:val="single" w:sz="4" w:space="0" w:color="auto"/>
              <w:right w:val="single" w:sz="8" w:space="0" w:color="auto"/>
            </w:tcBorders>
            <w:shd w:val="clear" w:color="auto" w:fill="auto"/>
            <w:noWrap/>
            <w:vAlign w:val="bottom"/>
            <w:hideMark/>
          </w:tcPr>
          <w:p w:rsidR="00841657" w:rsidRPr="000E17A8" w:rsidRDefault="00841657" w:rsidP="000E17A8">
            <w:pPr>
              <w:spacing w:line="240" w:lineRule="auto"/>
              <w:jc w:val="right"/>
              <w:rPr>
                <w:rFonts w:asciiTheme="minorHAnsi" w:hAnsiTheme="minorHAnsi"/>
                <w:szCs w:val="22"/>
              </w:rPr>
            </w:pPr>
            <w:r w:rsidRPr="000E17A8">
              <w:rPr>
                <w:rFonts w:asciiTheme="minorHAnsi" w:hAnsiTheme="minorHAnsi"/>
                <w:szCs w:val="22"/>
              </w:rPr>
              <w:t>7 000</w:t>
            </w:r>
          </w:p>
        </w:tc>
      </w:tr>
      <w:tr w:rsidR="00841657" w:rsidRPr="000E17A8" w:rsidTr="00833FE7">
        <w:trPr>
          <w:trHeight w:val="300"/>
        </w:trPr>
        <w:tc>
          <w:tcPr>
            <w:tcW w:w="4300" w:type="dxa"/>
            <w:tcBorders>
              <w:top w:val="nil"/>
              <w:left w:val="single" w:sz="8" w:space="0" w:color="auto"/>
              <w:bottom w:val="single" w:sz="4" w:space="0" w:color="auto"/>
              <w:right w:val="single" w:sz="4" w:space="0" w:color="auto"/>
            </w:tcBorders>
            <w:shd w:val="clear" w:color="auto" w:fill="auto"/>
            <w:noWrap/>
            <w:vAlign w:val="bottom"/>
            <w:hideMark/>
          </w:tcPr>
          <w:p w:rsidR="00841657" w:rsidRPr="000E17A8" w:rsidRDefault="00841657" w:rsidP="000E17A8">
            <w:pPr>
              <w:spacing w:line="240" w:lineRule="auto"/>
              <w:rPr>
                <w:rFonts w:asciiTheme="minorHAnsi" w:hAnsiTheme="minorHAnsi"/>
                <w:szCs w:val="22"/>
              </w:rPr>
            </w:pPr>
            <w:r w:rsidRPr="000E17A8">
              <w:rPr>
                <w:rFonts w:asciiTheme="minorHAnsi" w:hAnsiTheme="minorHAnsi"/>
                <w:szCs w:val="22"/>
              </w:rPr>
              <w:t>08 – Regionální rozvoj</w:t>
            </w:r>
          </w:p>
        </w:tc>
        <w:tc>
          <w:tcPr>
            <w:tcW w:w="2560" w:type="dxa"/>
            <w:tcBorders>
              <w:top w:val="nil"/>
              <w:left w:val="nil"/>
              <w:bottom w:val="single" w:sz="4" w:space="0" w:color="auto"/>
              <w:right w:val="single" w:sz="8" w:space="0" w:color="auto"/>
            </w:tcBorders>
            <w:shd w:val="clear" w:color="auto" w:fill="auto"/>
            <w:noWrap/>
            <w:vAlign w:val="bottom"/>
            <w:hideMark/>
          </w:tcPr>
          <w:p w:rsidR="00841657" w:rsidRPr="000E17A8" w:rsidRDefault="00841657" w:rsidP="000E17A8">
            <w:pPr>
              <w:spacing w:line="240" w:lineRule="auto"/>
              <w:jc w:val="right"/>
              <w:rPr>
                <w:rFonts w:asciiTheme="minorHAnsi" w:hAnsiTheme="minorHAnsi"/>
                <w:szCs w:val="22"/>
              </w:rPr>
            </w:pPr>
            <w:r w:rsidRPr="000E17A8">
              <w:rPr>
                <w:rFonts w:asciiTheme="minorHAnsi" w:hAnsiTheme="minorHAnsi"/>
                <w:szCs w:val="22"/>
              </w:rPr>
              <w:t>1 000</w:t>
            </w:r>
          </w:p>
        </w:tc>
      </w:tr>
      <w:tr w:rsidR="00841657" w:rsidRPr="000E17A8" w:rsidTr="00833FE7">
        <w:trPr>
          <w:trHeight w:val="300"/>
        </w:trPr>
        <w:tc>
          <w:tcPr>
            <w:tcW w:w="4300" w:type="dxa"/>
            <w:tcBorders>
              <w:top w:val="nil"/>
              <w:left w:val="single" w:sz="8" w:space="0" w:color="auto"/>
              <w:bottom w:val="single" w:sz="4" w:space="0" w:color="auto"/>
              <w:right w:val="single" w:sz="4" w:space="0" w:color="auto"/>
            </w:tcBorders>
            <w:shd w:val="clear" w:color="auto" w:fill="auto"/>
            <w:noWrap/>
            <w:vAlign w:val="bottom"/>
            <w:hideMark/>
          </w:tcPr>
          <w:p w:rsidR="00841657" w:rsidRPr="000E17A8" w:rsidRDefault="00841657" w:rsidP="000E17A8">
            <w:pPr>
              <w:spacing w:line="240" w:lineRule="auto"/>
              <w:rPr>
                <w:rFonts w:asciiTheme="minorHAnsi" w:hAnsiTheme="minorHAnsi"/>
                <w:szCs w:val="22"/>
              </w:rPr>
            </w:pPr>
            <w:r w:rsidRPr="000E17A8">
              <w:rPr>
                <w:rFonts w:asciiTheme="minorHAnsi" w:hAnsiTheme="minorHAnsi"/>
                <w:szCs w:val="22"/>
              </w:rPr>
              <w:t>09 – Evropská integrace</w:t>
            </w:r>
          </w:p>
        </w:tc>
        <w:tc>
          <w:tcPr>
            <w:tcW w:w="2560" w:type="dxa"/>
            <w:tcBorders>
              <w:top w:val="nil"/>
              <w:left w:val="nil"/>
              <w:bottom w:val="single" w:sz="4" w:space="0" w:color="auto"/>
              <w:right w:val="single" w:sz="8" w:space="0" w:color="auto"/>
            </w:tcBorders>
            <w:shd w:val="clear" w:color="auto" w:fill="auto"/>
            <w:noWrap/>
            <w:vAlign w:val="bottom"/>
            <w:hideMark/>
          </w:tcPr>
          <w:p w:rsidR="00841657" w:rsidRPr="000E17A8" w:rsidRDefault="00841657" w:rsidP="000E17A8">
            <w:pPr>
              <w:spacing w:line="240" w:lineRule="auto"/>
              <w:jc w:val="right"/>
              <w:rPr>
                <w:rFonts w:asciiTheme="minorHAnsi" w:hAnsiTheme="minorHAnsi"/>
                <w:szCs w:val="22"/>
              </w:rPr>
            </w:pPr>
            <w:r w:rsidRPr="000E17A8">
              <w:rPr>
                <w:rFonts w:asciiTheme="minorHAnsi" w:hAnsiTheme="minorHAnsi"/>
                <w:szCs w:val="22"/>
              </w:rPr>
              <w:t>1 000</w:t>
            </w:r>
          </w:p>
        </w:tc>
      </w:tr>
      <w:tr w:rsidR="00841657" w:rsidRPr="000E17A8" w:rsidTr="00833FE7">
        <w:trPr>
          <w:trHeight w:val="300"/>
        </w:trPr>
        <w:tc>
          <w:tcPr>
            <w:tcW w:w="4300" w:type="dxa"/>
            <w:tcBorders>
              <w:top w:val="nil"/>
              <w:left w:val="single" w:sz="8" w:space="0" w:color="auto"/>
              <w:bottom w:val="single" w:sz="4" w:space="0" w:color="auto"/>
              <w:right w:val="single" w:sz="4" w:space="0" w:color="auto"/>
            </w:tcBorders>
            <w:shd w:val="clear" w:color="auto" w:fill="auto"/>
            <w:noWrap/>
            <w:vAlign w:val="bottom"/>
            <w:hideMark/>
          </w:tcPr>
          <w:p w:rsidR="00841657" w:rsidRPr="000E17A8" w:rsidRDefault="00841657" w:rsidP="000E17A8">
            <w:pPr>
              <w:spacing w:line="240" w:lineRule="auto"/>
              <w:rPr>
                <w:rFonts w:asciiTheme="minorHAnsi" w:hAnsiTheme="minorHAnsi"/>
                <w:szCs w:val="22"/>
              </w:rPr>
            </w:pPr>
            <w:r w:rsidRPr="000E17A8">
              <w:rPr>
                <w:rFonts w:asciiTheme="minorHAnsi" w:hAnsiTheme="minorHAnsi"/>
                <w:szCs w:val="22"/>
              </w:rPr>
              <w:t>10 – Životní prostředí a zemědělství</w:t>
            </w:r>
          </w:p>
        </w:tc>
        <w:tc>
          <w:tcPr>
            <w:tcW w:w="2560" w:type="dxa"/>
            <w:tcBorders>
              <w:top w:val="nil"/>
              <w:left w:val="nil"/>
              <w:bottom w:val="single" w:sz="4" w:space="0" w:color="auto"/>
              <w:right w:val="single" w:sz="8" w:space="0" w:color="auto"/>
            </w:tcBorders>
            <w:shd w:val="clear" w:color="auto" w:fill="auto"/>
            <w:noWrap/>
            <w:vAlign w:val="bottom"/>
            <w:hideMark/>
          </w:tcPr>
          <w:p w:rsidR="00841657" w:rsidRPr="000E17A8" w:rsidRDefault="00841657" w:rsidP="000E17A8">
            <w:pPr>
              <w:spacing w:line="240" w:lineRule="auto"/>
              <w:jc w:val="right"/>
              <w:rPr>
                <w:rFonts w:asciiTheme="minorHAnsi" w:hAnsiTheme="minorHAnsi"/>
                <w:szCs w:val="22"/>
              </w:rPr>
            </w:pPr>
            <w:r w:rsidRPr="000E17A8">
              <w:rPr>
                <w:rFonts w:asciiTheme="minorHAnsi" w:hAnsiTheme="minorHAnsi"/>
                <w:szCs w:val="22"/>
              </w:rPr>
              <w:t>8 000</w:t>
            </w:r>
          </w:p>
        </w:tc>
      </w:tr>
      <w:tr w:rsidR="00841657" w:rsidRPr="000E17A8" w:rsidTr="00833FE7">
        <w:trPr>
          <w:trHeight w:val="300"/>
        </w:trPr>
        <w:tc>
          <w:tcPr>
            <w:tcW w:w="4300" w:type="dxa"/>
            <w:tcBorders>
              <w:top w:val="nil"/>
              <w:left w:val="single" w:sz="8" w:space="0" w:color="auto"/>
              <w:bottom w:val="single" w:sz="4" w:space="0" w:color="auto"/>
              <w:right w:val="single" w:sz="4" w:space="0" w:color="auto"/>
            </w:tcBorders>
            <w:shd w:val="clear" w:color="auto" w:fill="auto"/>
            <w:noWrap/>
            <w:vAlign w:val="bottom"/>
            <w:hideMark/>
          </w:tcPr>
          <w:p w:rsidR="00841657" w:rsidRPr="000E17A8" w:rsidRDefault="00841657" w:rsidP="000E17A8">
            <w:pPr>
              <w:spacing w:line="240" w:lineRule="auto"/>
              <w:rPr>
                <w:rFonts w:asciiTheme="minorHAnsi" w:hAnsiTheme="minorHAnsi"/>
                <w:szCs w:val="22"/>
              </w:rPr>
            </w:pPr>
            <w:r w:rsidRPr="000E17A8">
              <w:rPr>
                <w:rFonts w:asciiTheme="minorHAnsi" w:hAnsiTheme="minorHAnsi"/>
                <w:szCs w:val="22"/>
              </w:rPr>
              <w:t>17 – Sociální věci</w:t>
            </w:r>
          </w:p>
        </w:tc>
        <w:tc>
          <w:tcPr>
            <w:tcW w:w="2560" w:type="dxa"/>
            <w:tcBorders>
              <w:top w:val="nil"/>
              <w:left w:val="nil"/>
              <w:bottom w:val="single" w:sz="4" w:space="0" w:color="auto"/>
              <w:right w:val="single" w:sz="8" w:space="0" w:color="auto"/>
            </w:tcBorders>
            <w:shd w:val="clear" w:color="auto" w:fill="auto"/>
            <w:noWrap/>
            <w:vAlign w:val="bottom"/>
          </w:tcPr>
          <w:p w:rsidR="00841657" w:rsidRPr="000E17A8" w:rsidRDefault="00841657" w:rsidP="000E17A8">
            <w:pPr>
              <w:spacing w:line="240" w:lineRule="auto"/>
              <w:jc w:val="right"/>
              <w:rPr>
                <w:rFonts w:asciiTheme="minorHAnsi" w:hAnsiTheme="minorHAnsi"/>
                <w:szCs w:val="22"/>
              </w:rPr>
            </w:pPr>
            <w:r w:rsidRPr="000E17A8">
              <w:rPr>
                <w:rFonts w:asciiTheme="minorHAnsi" w:hAnsiTheme="minorHAnsi"/>
                <w:szCs w:val="22"/>
              </w:rPr>
              <w:t>56 000</w:t>
            </w:r>
          </w:p>
        </w:tc>
      </w:tr>
      <w:tr w:rsidR="00841657" w:rsidRPr="000E17A8" w:rsidTr="00833FE7">
        <w:trPr>
          <w:trHeight w:val="315"/>
        </w:trPr>
        <w:tc>
          <w:tcPr>
            <w:tcW w:w="4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1657" w:rsidRPr="000E17A8" w:rsidRDefault="00841657" w:rsidP="000E17A8">
            <w:pPr>
              <w:spacing w:line="240" w:lineRule="auto"/>
              <w:rPr>
                <w:rFonts w:asciiTheme="minorHAnsi" w:hAnsiTheme="minorHAnsi"/>
                <w:szCs w:val="22"/>
              </w:rPr>
            </w:pPr>
            <w:r w:rsidRPr="000E17A8">
              <w:rPr>
                <w:rFonts w:asciiTheme="minorHAnsi" w:hAnsiTheme="minorHAnsi"/>
                <w:szCs w:val="22"/>
              </w:rPr>
              <w:t>25 – Bezpečnost a prevence</w:t>
            </w:r>
          </w:p>
        </w:tc>
        <w:tc>
          <w:tcPr>
            <w:tcW w:w="2560" w:type="dxa"/>
            <w:tcBorders>
              <w:top w:val="single" w:sz="4" w:space="0" w:color="auto"/>
              <w:left w:val="nil"/>
              <w:bottom w:val="single" w:sz="4" w:space="0" w:color="auto"/>
              <w:right w:val="single" w:sz="4" w:space="0" w:color="auto"/>
            </w:tcBorders>
            <w:shd w:val="clear" w:color="auto" w:fill="auto"/>
            <w:noWrap/>
            <w:vAlign w:val="bottom"/>
            <w:hideMark/>
          </w:tcPr>
          <w:p w:rsidR="00841657" w:rsidRPr="000E17A8" w:rsidRDefault="00841657" w:rsidP="000E17A8">
            <w:pPr>
              <w:spacing w:line="240" w:lineRule="auto"/>
              <w:jc w:val="right"/>
              <w:rPr>
                <w:rFonts w:asciiTheme="minorHAnsi" w:hAnsiTheme="minorHAnsi"/>
                <w:szCs w:val="22"/>
              </w:rPr>
            </w:pPr>
            <w:r w:rsidRPr="000E17A8">
              <w:rPr>
                <w:rFonts w:asciiTheme="minorHAnsi" w:hAnsiTheme="minorHAnsi"/>
                <w:szCs w:val="22"/>
              </w:rPr>
              <w:t>14 000</w:t>
            </w:r>
          </w:p>
        </w:tc>
      </w:tr>
      <w:tr w:rsidR="00841657" w:rsidRPr="000E17A8" w:rsidTr="00833FE7">
        <w:trPr>
          <w:trHeight w:val="315"/>
        </w:trPr>
        <w:tc>
          <w:tcPr>
            <w:tcW w:w="4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657" w:rsidRPr="000E17A8" w:rsidRDefault="00841657" w:rsidP="000E17A8">
            <w:pPr>
              <w:spacing w:line="240" w:lineRule="auto"/>
              <w:rPr>
                <w:rFonts w:asciiTheme="minorHAnsi" w:hAnsiTheme="minorHAnsi"/>
                <w:szCs w:val="22"/>
              </w:rPr>
            </w:pPr>
            <w:r w:rsidRPr="000E17A8">
              <w:rPr>
                <w:rFonts w:asciiTheme="minorHAnsi" w:hAnsiTheme="minorHAnsi"/>
                <w:szCs w:val="22"/>
              </w:rPr>
              <w:t>26 - Veřejná mobilita</w:t>
            </w:r>
          </w:p>
        </w:tc>
        <w:tc>
          <w:tcPr>
            <w:tcW w:w="2560" w:type="dxa"/>
            <w:tcBorders>
              <w:top w:val="single" w:sz="4" w:space="0" w:color="auto"/>
              <w:left w:val="nil"/>
              <w:bottom w:val="single" w:sz="4" w:space="0" w:color="auto"/>
              <w:right w:val="single" w:sz="4" w:space="0" w:color="auto"/>
            </w:tcBorders>
            <w:shd w:val="clear" w:color="auto" w:fill="auto"/>
            <w:noWrap/>
            <w:vAlign w:val="bottom"/>
          </w:tcPr>
          <w:p w:rsidR="00841657" w:rsidRPr="000E17A8" w:rsidRDefault="00841657" w:rsidP="000E17A8">
            <w:pPr>
              <w:spacing w:line="240" w:lineRule="auto"/>
              <w:jc w:val="right"/>
              <w:rPr>
                <w:rFonts w:asciiTheme="minorHAnsi" w:hAnsiTheme="minorHAnsi"/>
                <w:szCs w:val="22"/>
              </w:rPr>
            </w:pPr>
            <w:r w:rsidRPr="000E17A8">
              <w:rPr>
                <w:rFonts w:asciiTheme="minorHAnsi" w:hAnsiTheme="minorHAnsi"/>
                <w:szCs w:val="22"/>
              </w:rPr>
              <w:t>2 000</w:t>
            </w:r>
          </w:p>
        </w:tc>
      </w:tr>
      <w:tr w:rsidR="00841657" w:rsidRPr="000E17A8" w:rsidTr="00833FE7">
        <w:trPr>
          <w:trHeight w:val="315"/>
        </w:trPr>
        <w:tc>
          <w:tcPr>
            <w:tcW w:w="4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657" w:rsidRPr="000E17A8" w:rsidRDefault="00841657" w:rsidP="000E17A8">
            <w:pPr>
              <w:spacing w:line="240" w:lineRule="auto"/>
              <w:rPr>
                <w:rFonts w:asciiTheme="minorHAnsi" w:hAnsiTheme="minorHAnsi"/>
                <w:szCs w:val="22"/>
              </w:rPr>
            </w:pPr>
            <w:r w:rsidRPr="000E17A8">
              <w:rPr>
                <w:rFonts w:asciiTheme="minorHAnsi" w:hAnsiTheme="minorHAnsi"/>
                <w:szCs w:val="22"/>
              </w:rPr>
              <w:t>27 - Digitalizace</w:t>
            </w:r>
          </w:p>
        </w:tc>
        <w:tc>
          <w:tcPr>
            <w:tcW w:w="2560" w:type="dxa"/>
            <w:tcBorders>
              <w:top w:val="single" w:sz="4" w:space="0" w:color="auto"/>
              <w:left w:val="nil"/>
              <w:bottom w:val="single" w:sz="4" w:space="0" w:color="auto"/>
              <w:right w:val="single" w:sz="4" w:space="0" w:color="auto"/>
            </w:tcBorders>
            <w:shd w:val="clear" w:color="auto" w:fill="auto"/>
            <w:noWrap/>
            <w:vAlign w:val="bottom"/>
          </w:tcPr>
          <w:p w:rsidR="00841657" w:rsidRPr="000E17A8" w:rsidRDefault="00841657" w:rsidP="000E17A8">
            <w:pPr>
              <w:spacing w:line="240" w:lineRule="auto"/>
              <w:jc w:val="right"/>
              <w:rPr>
                <w:rFonts w:asciiTheme="minorHAnsi" w:hAnsiTheme="minorHAnsi"/>
                <w:szCs w:val="22"/>
              </w:rPr>
            </w:pPr>
            <w:r w:rsidRPr="000E17A8">
              <w:rPr>
                <w:rFonts w:asciiTheme="minorHAnsi" w:hAnsiTheme="minorHAnsi"/>
                <w:szCs w:val="22"/>
              </w:rPr>
              <w:t>2 000</w:t>
            </w:r>
          </w:p>
        </w:tc>
      </w:tr>
      <w:tr w:rsidR="00841657" w:rsidRPr="000E17A8" w:rsidTr="00833FE7">
        <w:trPr>
          <w:trHeight w:val="315"/>
        </w:trPr>
        <w:tc>
          <w:tcPr>
            <w:tcW w:w="430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841657" w:rsidRPr="000E17A8" w:rsidRDefault="00841657" w:rsidP="000E17A8">
            <w:pPr>
              <w:spacing w:line="240" w:lineRule="auto"/>
              <w:rPr>
                <w:rFonts w:asciiTheme="minorHAnsi" w:hAnsiTheme="minorHAnsi"/>
                <w:b/>
                <w:bCs/>
                <w:szCs w:val="22"/>
              </w:rPr>
            </w:pPr>
            <w:r w:rsidRPr="000E17A8">
              <w:rPr>
                <w:rFonts w:asciiTheme="minorHAnsi" w:hAnsiTheme="minorHAnsi"/>
                <w:b/>
                <w:bCs/>
                <w:szCs w:val="22"/>
              </w:rPr>
              <w:t>Celkem</w:t>
            </w:r>
          </w:p>
        </w:tc>
        <w:tc>
          <w:tcPr>
            <w:tcW w:w="2560" w:type="dxa"/>
            <w:tcBorders>
              <w:top w:val="single" w:sz="4" w:space="0" w:color="auto"/>
              <w:left w:val="nil"/>
              <w:bottom w:val="single" w:sz="8" w:space="0" w:color="auto"/>
              <w:right w:val="single" w:sz="8" w:space="0" w:color="auto"/>
            </w:tcBorders>
            <w:shd w:val="clear" w:color="auto" w:fill="auto"/>
            <w:noWrap/>
            <w:vAlign w:val="bottom"/>
            <w:hideMark/>
          </w:tcPr>
          <w:p w:rsidR="00841657" w:rsidRPr="000E17A8" w:rsidRDefault="00841657" w:rsidP="000E17A8">
            <w:pPr>
              <w:spacing w:line="240" w:lineRule="auto"/>
              <w:jc w:val="right"/>
              <w:rPr>
                <w:rFonts w:asciiTheme="minorHAnsi" w:hAnsiTheme="minorHAnsi"/>
                <w:b/>
                <w:bCs/>
                <w:szCs w:val="22"/>
              </w:rPr>
            </w:pPr>
            <w:r w:rsidRPr="000E17A8">
              <w:rPr>
                <w:rFonts w:asciiTheme="minorHAnsi" w:hAnsiTheme="minorHAnsi"/>
                <w:b/>
                <w:bCs/>
                <w:szCs w:val="22"/>
              </w:rPr>
              <w:t>500 000</w:t>
            </w:r>
          </w:p>
        </w:tc>
      </w:tr>
    </w:tbl>
    <w:p w:rsidR="00841657" w:rsidRPr="000E17A8" w:rsidRDefault="00841657" w:rsidP="000E17A8">
      <w:pPr>
        <w:pStyle w:val="odrazky"/>
        <w:numPr>
          <w:ilvl w:val="0"/>
          <w:numId w:val="0"/>
        </w:numPr>
        <w:jc w:val="both"/>
        <w:rPr>
          <w:rFonts w:asciiTheme="minorHAnsi" w:hAnsiTheme="minorHAnsi"/>
          <w:szCs w:val="24"/>
        </w:rPr>
      </w:pPr>
    </w:p>
    <w:p w:rsidR="00841657" w:rsidRPr="000E17A8" w:rsidRDefault="00841657" w:rsidP="000E17A8">
      <w:pPr>
        <w:spacing w:line="240" w:lineRule="auto"/>
        <w:jc w:val="both"/>
        <w:rPr>
          <w:rFonts w:asciiTheme="minorHAnsi" w:hAnsiTheme="minorHAnsi"/>
        </w:rPr>
      </w:pPr>
    </w:p>
    <w:p w:rsidR="00841657" w:rsidRPr="000E17A8" w:rsidRDefault="00841657" w:rsidP="000E17A8">
      <w:pPr>
        <w:spacing w:line="240" w:lineRule="auto"/>
        <w:jc w:val="both"/>
        <w:rPr>
          <w:rFonts w:asciiTheme="minorHAnsi" w:hAnsiTheme="minorHAnsi"/>
          <w:b/>
          <w:bCs/>
        </w:rPr>
      </w:pPr>
      <w:r w:rsidRPr="000E17A8">
        <w:rPr>
          <w:rFonts w:asciiTheme="minorHAnsi" w:hAnsiTheme="minorHAnsi"/>
          <w:b/>
          <w:bCs/>
        </w:rPr>
        <w:t>Prostředky na předfinancování a kofinancování projektů spolufinancovaných z EU/EHP a ostatní související výdaje s projekty EU/EHP – 4 107 784,00 tis. Kč</w:t>
      </w:r>
    </w:p>
    <w:p w:rsidR="00841657" w:rsidRPr="000E17A8" w:rsidRDefault="00841657" w:rsidP="000E17A8">
      <w:pPr>
        <w:spacing w:line="240" w:lineRule="auto"/>
        <w:jc w:val="both"/>
        <w:rPr>
          <w:rFonts w:asciiTheme="minorHAnsi" w:hAnsiTheme="minorHAnsi"/>
        </w:rPr>
      </w:pPr>
      <w:r w:rsidRPr="000E17A8">
        <w:rPr>
          <w:rFonts w:asciiTheme="minorHAnsi" w:hAnsiTheme="minorHAnsi"/>
        </w:rPr>
        <w:t xml:space="preserve">Jedná se o běžné a investiční výdaje související s realizací projektů spolufinancovaných Evropskou unií a EHP. </w:t>
      </w:r>
    </w:p>
    <w:p w:rsidR="00841657" w:rsidRPr="000E17A8" w:rsidRDefault="00841657" w:rsidP="000E17A8">
      <w:pPr>
        <w:spacing w:line="240" w:lineRule="auto"/>
        <w:jc w:val="both"/>
        <w:rPr>
          <w:rFonts w:asciiTheme="minorHAnsi" w:hAnsiTheme="minorHAnsi"/>
        </w:rPr>
      </w:pPr>
      <w:r w:rsidRPr="000E17A8">
        <w:rPr>
          <w:rFonts w:asciiTheme="minorHAnsi" w:hAnsiTheme="minorHAnsi"/>
        </w:rPr>
        <w:t xml:space="preserve">Prostředky jsou určeny na předfinancování projektů spolufinancovaných z EU/EHP ve výši 2 251 471,00 tis. Kč a na financování krajského podílu projektů i na financování neuznatelných výdajů projektů spolufinancovaných z EU/EHP ve výši 1 856 313,00 tis. Kč, a to v programovém období 2014–2020 i v novém programovém období 2021–2027. Čerpání prostředků probíhá na základě schváleného Zásobníku projektů spolufinancovaných z EU/EHP a národních zdrojů. Rozhodující pro financování </w:t>
      </w:r>
      <w:r w:rsidRPr="000E17A8">
        <w:rPr>
          <w:rFonts w:asciiTheme="minorHAnsi" w:hAnsiTheme="minorHAnsi"/>
        </w:rPr>
        <w:lastRenderedPageBreak/>
        <w:t>projektu je jeho připravenost. Finanční prostředky budou sloužit i pro případnou úhradu vratek dotací a výdajů za porušení rozpočtové kázně v souvislosti s projekty EU/EHP.</w:t>
      </w:r>
    </w:p>
    <w:p w:rsidR="00841657" w:rsidRPr="000E17A8" w:rsidRDefault="00841657" w:rsidP="000E17A8">
      <w:pPr>
        <w:spacing w:line="240" w:lineRule="auto"/>
        <w:jc w:val="both"/>
        <w:rPr>
          <w:rFonts w:asciiTheme="minorHAnsi" w:hAnsiTheme="minorHAnsi"/>
        </w:rPr>
      </w:pPr>
      <w:r w:rsidRPr="000E17A8">
        <w:rPr>
          <w:rFonts w:asciiTheme="minorHAnsi" w:hAnsiTheme="minorHAnsi"/>
        </w:rPr>
        <w:t>V roce 2022 bude financování projektů spolufinancovaných z EU/EHP vedených v Zásobníku projektů spolufinancovaných z EU/EHP a národních zdrojů realizováno prostřednictvím limitů přidělených jednotlivým věcně příslušným odborům tak, jak je uvedeno v tabulkové části v příloze č. 1. Limity a jejich případné změny schvaluje rada kraje v samostatném materiálu.</w:t>
      </w:r>
    </w:p>
    <w:p w:rsidR="00841657" w:rsidRPr="000E17A8" w:rsidRDefault="00841657" w:rsidP="000E17A8">
      <w:pPr>
        <w:spacing w:line="240" w:lineRule="auto"/>
        <w:jc w:val="both"/>
        <w:rPr>
          <w:rFonts w:asciiTheme="minorHAnsi" w:hAnsiTheme="minorHAnsi"/>
        </w:rPr>
      </w:pPr>
      <w:r w:rsidRPr="000E17A8">
        <w:rPr>
          <w:rFonts w:asciiTheme="minorHAnsi" w:hAnsiTheme="minorHAnsi"/>
        </w:rPr>
        <w:t xml:space="preserve">             </w:t>
      </w:r>
    </w:p>
    <w:p w:rsidR="00841657" w:rsidRPr="000E17A8" w:rsidRDefault="00841657" w:rsidP="000E17A8">
      <w:pPr>
        <w:spacing w:line="240" w:lineRule="auto"/>
        <w:jc w:val="both"/>
        <w:rPr>
          <w:rFonts w:asciiTheme="minorHAnsi" w:hAnsiTheme="minorHAnsi"/>
          <w:b/>
          <w:bCs/>
          <w:color w:val="000000"/>
        </w:rPr>
      </w:pPr>
      <w:r w:rsidRPr="000E17A8">
        <w:rPr>
          <w:rFonts w:asciiTheme="minorHAnsi" w:hAnsiTheme="minorHAnsi"/>
          <w:b/>
          <w:bCs/>
        </w:rPr>
        <w:t xml:space="preserve">Prostředky na předfinancování a kofinancování </w:t>
      </w:r>
      <w:r w:rsidRPr="000E17A8">
        <w:rPr>
          <w:rFonts w:asciiTheme="minorHAnsi" w:hAnsiTheme="minorHAnsi"/>
          <w:b/>
          <w:bCs/>
          <w:color w:val="000000"/>
        </w:rPr>
        <w:t>projektů spolufinancovaných z národních zdrojů a ostatní související výdaje s projekty z národních zdrojů – 217 013,00 tis. Kč</w:t>
      </w:r>
    </w:p>
    <w:p w:rsidR="00841657" w:rsidRPr="000E17A8" w:rsidRDefault="00841657" w:rsidP="000E17A8">
      <w:pPr>
        <w:spacing w:line="240" w:lineRule="auto"/>
        <w:jc w:val="both"/>
        <w:rPr>
          <w:rFonts w:asciiTheme="minorHAnsi" w:hAnsiTheme="minorHAnsi"/>
        </w:rPr>
      </w:pPr>
      <w:r w:rsidRPr="000E17A8">
        <w:rPr>
          <w:rFonts w:asciiTheme="minorHAnsi" w:hAnsiTheme="minorHAnsi"/>
          <w:bCs/>
          <w:color w:val="000000"/>
        </w:rPr>
        <w:t xml:space="preserve">Prostředky jsou určeny na </w:t>
      </w:r>
      <w:r w:rsidRPr="000E17A8">
        <w:rPr>
          <w:rFonts w:asciiTheme="minorHAnsi" w:hAnsiTheme="minorHAnsi"/>
          <w:color w:val="000000"/>
        </w:rPr>
        <w:t>předfinancování projektů financovaných z národních zdrojů ve výši 82 800,00 tis. Kč a na financování krajského podílu projektů financovaných z národních zdrojů ve výši 134 213,00 tis. Kč. Č</w:t>
      </w:r>
      <w:r w:rsidRPr="000E17A8">
        <w:rPr>
          <w:rFonts w:asciiTheme="minorHAnsi" w:hAnsiTheme="minorHAnsi"/>
          <w:bCs/>
          <w:color w:val="000000"/>
        </w:rPr>
        <w:t xml:space="preserve">erpání prostředků je realizováno </w:t>
      </w:r>
      <w:r w:rsidRPr="000E17A8">
        <w:rPr>
          <w:rFonts w:asciiTheme="minorHAnsi" w:hAnsiTheme="minorHAnsi"/>
          <w:color w:val="000000"/>
        </w:rPr>
        <w:t>na základě Zásobníku projektů spolufinancovaných z EU/EHP a národních zdrojů.</w:t>
      </w:r>
      <w:r w:rsidRPr="000E17A8">
        <w:rPr>
          <w:rFonts w:asciiTheme="minorHAnsi" w:hAnsiTheme="minorHAnsi"/>
          <w:bCs/>
          <w:color w:val="000000"/>
        </w:rPr>
        <w:t xml:space="preserve">  </w:t>
      </w:r>
      <w:r w:rsidRPr="000E17A8">
        <w:rPr>
          <w:rFonts w:asciiTheme="minorHAnsi" w:hAnsiTheme="minorHAnsi"/>
          <w:color w:val="000000"/>
        </w:rPr>
        <w:t>Rozhodující pro financování projektu je jeho připravenost. Finanční prostředky budou sloužit i pro případnou</w:t>
      </w:r>
      <w:r w:rsidRPr="000E17A8">
        <w:rPr>
          <w:rFonts w:asciiTheme="minorHAnsi" w:hAnsiTheme="minorHAnsi"/>
        </w:rPr>
        <w:t xml:space="preserve"> úhradu vratek dotací a výdajů za porušení rozpočtové kázně v souvislosti s projekty z národních zdrojů. </w:t>
      </w:r>
    </w:p>
    <w:p w:rsidR="00841657" w:rsidRPr="000E17A8" w:rsidRDefault="00841657" w:rsidP="000E17A8">
      <w:pPr>
        <w:spacing w:line="240" w:lineRule="auto"/>
        <w:jc w:val="both"/>
        <w:rPr>
          <w:rFonts w:asciiTheme="minorHAnsi" w:hAnsiTheme="minorHAnsi"/>
          <w:b/>
          <w:bCs/>
        </w:rPr>
      </w:pPr>
    </w:p>
    <w:p w:rsidR="00841657" w:rsidRPr="000E17A8" w:rsidRDefault="00841657" w:rsidP="000E17A8">
      <w:pPr>
        <w:spacing w:line="240" w:lineRule="auto"/>
        <w:jc w:val="both"/>
        <w:rPr>
          <w:rFonts w:asciiTheme="minorHAnsi" w:hAnsiTheme="minorHAnsi"/>
          <w:b/>
          <w:bCs/>
        </w:rPr>
      </w:pPr>
      <w:r w:rsidRPr="000E17A8">
        <w:rPr>
          <w:rFonts w:asciiTheme="minorHAnsi" w:hAnsiTheme="minorHAnsi"/>
          <w:b/>
          <w:bCs/>
        </w:rPr>
        <w:t>Rezerva</w:t>
      </w:r>
      <w:r w:rsidRPr="000E17A8">
        <w:rPr>
          <w:rFonts w:asciiTheme="minorHAnsi" w:hAnsiTheme="minorHAnsi"/>
        </w:rPr>
        <w:t xml:space="preserve"> </w:t>
      </w:r>
      <w:r w:rsidRPr="000E17A8">
        <w:rPr>
          <w:rFonts w:asciiTheme="minorHAnsi" w:hAnsiTheme="minorHAnsi"/>
          <w:b/>
          <w:bCs/>
        </w:rPr>
        <w:t>– 55 478,20 tis. Kč</w:t>
      </w:r>
    </w:p>
    <w:p w:rsidR="00841657" w:rsidRPr="000E17A8" w:rsidRDefault="00841657" w:rsidP="000E17A8">
      <w:pPr>
        <w:spacing w:line="240" w:lineRule="auto"/>
        <w:jc w:val="both"/>
        <w:rPr>
          <w:rFonts w:asciiTheme="minorHAnsi" w:hAnsiTheme="minorHAnsi"/>
        </w:rPr>
      </w:pPr>
      <w:r w:rsidRPr="000E17A8">
        <w:rPr>
          <w:rFonts w:asciiTheme="minorHAnsi" w:hAnsiTheme="minorHAnsi"/>
        </w:rPr>
        <w:t>Rezerva kraje pro rok 2022 na kapitole 23 – Ostatní je navržena jako obecná rezerva na nepředvídatelné události a dále by tato rezerva měla pokrývat i riziko neplánovaných výdajů z titulu finančních záruk (tzv. ručitelských prohlášení) vystavených Středočeským krajem. Obecná rezerva nemá předem stanoven konkrétní účel a o jejím použití rozhoduje rada kraje.</w:t>
      </w:r>
    </w:p>
    <w:p w:rsidR="00841657" w:rsidRPr="000E17A8" w:rsidRDefault="00841657" w:rsidP="000E17A8">
      <w:pPr>
        <w:spacing w:line="240" w:lineRule="auto"/>
        <w:jc w:val="both"/>
        <w:rPr>
          <w:rFonts w:asciiTheme="minorHAnsi" w:hAnsiTheme="minorHAnsi"/>
        </w:rPr>
      </w:pPr>
    </w:p>
    <w:p w:rsidR="00841657" w:rsidRPr="000E17A8" w:rsidRDefault="00841657" w:rsidP="000E17A8">
      <w:pPr>
        <w:spacing w:line="240" w:lineRule="auto"/>
        <w:jc w:val="both"/>
        <w:rPr>
          <w:rFonts w:asciiTheme="minorHAnsi" w:hAnsiTheme="minorHAnsi"/>
        </w:rPr>
      </w:pPr>
      <w:r w:rsidRPr="000E17A8">
        <w:rPr>
          <w:rFonts w:asciiTheme="minorHAnsi" w:hAnsiTheme="minorHAnsi"/>
          <w:b/>
        </w:rPr>
        <w:t>Výdaje na krytí očekávaných výdajů kapitol</w:t>
      </w:r>
      <w:r w:rsidRPr="000E17A8">
        <w:rPr>
          <w:rFonts w:asciiTheme="minorHAnsi" w:hAnsiTheme="minorHAnsi"/>
        </w:rPr>
        <w:t xml:space="preserve"> </w:t>
      </w:r>
      <w:r w:rsidRPr="000E17A8">
        <w:rPr>
          <w:rFonts w:asciiTheme="minorHAnsi" w:hAnsiTheme="minorHAnsi"/>
          <w:b/>
          <w:bCs/>
        </w:rPr>
        <w:t>– 10 000,00 tis. Kč</w:t>
      </w:r>
      <w:r w:rsidRPr="000E17A8">
        <w:rPr>
          <w:rFonts w:asciiTheme="minorHAnsi" w:hAnsiTheme="minorHAnsi"/>
        </w:rPr>
        <w:t xml:space="preserve"> </w:t>
      </w:r>
    </w:p>
    <w:p w:rsidR="00841657" w:rsidRPr="000E17A8" w:rsidRDefault="00841657" w:rsidP="000E17A8">
      <w:pPr>
        <w:spacing w:line="240" w:lineRule="auto"/>
        <w:jc w:val="both"/>
        <w:rPr>
          <w:rFonts w:asciiTheme="minorHAnsi" w:hAnsiTheme="minorHAnsi"/>
        </w:rPr>
      </w:pPr>
      <w:r w:rsidRPr="000E17A8">
        <w:rPr>
          <w:rFonts w:asciiTheme="minorHAnsi" w:hAnsiTheme="minorHAnsi"/>
        </w:rPr>
        <w:t xml:space="preserve">Očekávané výdaje dle konkrétního účelu použití uvedené na kapitole 23 – Ostatní slouží k financování výdajů, u kterých není předem známa předpokládaná doba čerpání a jejich potřebná výše je pouze odhadována. Jejich čerpání probíhá na základě vzniklé potřeby dle konkrétního výčtu účelu použití, který je uveden v tabulkové části v příloze č. 1. </w:t>
      </w:r>
    </w:p>
    <w:p w:rsidR="00841657" w:rsidRPr="000E17A8" w:rsidRDefault="00841657" w:rsidP="000E17A8">
      <w:pPr>
        <w:spacing w:line="240" w:lineRule="auto"/>
        <w:jc w:val="both"/>
        <w:rPr>
          <w:rFonts w:asciiTheme="minorHAnsi" w:hAnsiTheme="minorHAnsi"/>
        </w:rPr>
      </w:pPr>
    </w:p>
    <w:p w:rsidR="00841657" w:rsidRPr="000E17A8" w:rsidRDefault="00841657" w:rsidP="000E17A8">
      <w:pPr>
        <w:spacing w:line="240" w:lineRule="auto"/>
        <w:jc w:val="both"/>
        <w:rPr>
          <w:rFonts w:asciiTheme="minorHAnsi" w:hAnsiTheme="minorHAnsi"/>
        </w:rPr>
      </w:pPr>
      <w:r w:rsidRPr="000E17A8">
        <w:rPr>
          <w:rFonts w:asciiTheme="minorHAnsi" w:hAnsiTheme="minorHAnsi"/>
          <w:b/>
        </w:rPr>
        <w:t xml:space="preserve">Pojištění majetku, vozidel a odpovědnosti k refundaci </w:t>
      </w:r>
      <w:r w:rsidRPr="000E17A8">
        <w:rPr>
          <w:rFonts w:asciiTheme="minorHAnsi" w:hAnsiTheme="minorHAnsi"/>
          <w:b/>
          <w:bCs/>
        </w:rPr>
        <w:t>– 0,00 tis. Kč</w:t>
      </w:r>
    </w:p>
    <w:p w:rsidR="00841657" w:rsidRPr="000E17A8" w:rsidRDefault="00841657" w:rsidP="000E17A8">
      <w:pPr>
        <w:spacing w:line="240" w:lineRule="auto"/>
        <w:jc w:val="both"/>
        <w:rPr>
          <w:rFonts w:asciiTheme="minorHAnsi" w:hAnsiTheme="minorHAnsi"/>
        </w:rPr>
      </w:pPr>
      <w:r w:rsidRPr="000E17A8">
        <w:rPr>
          <w:rFonts w:asciiTheme="minorHAnsi" w:hAnsiTheme="minorHAnsi"/>
        </w:rPr>
        <w:t>Jedná se o úhradu plateb za pojištění majetku, vozidel a odpovědnosti. Platby jsou následně fakturovány příspěvkovým organizacím a nemocnicím Středočeského kraje a refundovány zpět kraji. Prostředky budou do rozpočtu zapojeny na začátku roku 2022 na základě zapojení nevyčerpaných prostředků na pojištění majetku, vozidel a odpovědnosti z roku 2021.</w:t>
      </w:r>
    </w:p>
    <w:p w:rsidR="00841657" w:rsidRPr="000E17A8" w:rsidRDefault="00841657" w:rsidP="000E17A8">
      <w:pPr>
        <w:spacing w:line="240" w:lineRule="auto"/>
        <w:jc w:val="both"/>
        <w:rPr>
          <w:rFonts w:asciiTheme="minorHAnsi" w:hAnsiTheme="minorHAnsi"/>
        </w:rPr>
      </w:pPr>
    </w:p>
    <w:p w:rsidR="00841657" w:rsidRPr="000E17A8" w:rsidRDefault="00841657" w:rsidP="000E17A8">
      <w:pPr>
        <w:spacing w:line="240" w:lineRule="auto"/>
        <w:jc w:val="both"/>
        <w:rPr>
          <w:rFonts w:asciiTheme="minorHAnsi" w:hAnsiTheme="minorHAnsi"/>
          <w:b/>
        </w:rPr>
      </w:pPr>
      <w:r w:rsidRPr="000E17A8">
        <w:rPr>
          <w:rFonts w:asciiTheme="minorHAnsi" w:hAnsiTheme="minorHAnsi"/>
          <w:b/>
        </w:rPr>
        <w:t>Specifické rezervy – 371 980,00 tis. Kč</w:t>
      </w:r>
    </w:p>
    <w:p w:rsidR="00841657" w:rsidRPr="000E17A8" w:rsidRDefault="00841657" w:rsidP="000E17A8">
      <w:pPr>
        <w:spacing w:line="240" w:lineRule="auto"/>
        <w:jc w:val="both"/>
        <w:rPr>
          <w:rFonts w:asciiTheme="minorHAnsi" w:hAnsiTheme="minorHAnsi"/>
        </w:rPr>
      </w:pPr>
      <w:r w:rsidRPr="000E17A8">
        <w:rPr>
          <w:rFonts w:asciiTheme="minorHAnsi" w:hAnsiTheme="minorHAnsi"/>
        </w:rPr>
        <w:t>Účelové prostředky jsou vedeny na kapitole 23 – Ostatní, která je v gesci Odboru finančního, a jsou tvořeny:</w:t>
      </w:r>
    </w:p>
    <w:p w:rsidR="00841657" w:rsidRPr="000E17A8" w:rsidRDefault="00841657" w:rsidP="000E17A8">
      <w:pPr>
        <w:numPr>
          <w:ilvl w:val="0"/>
          <w:numId w:val="5"/>
        </w:numPr>
        <w:spacing w:line="240" w:lineRule="auto"/>
        <w:jc w:val="both"/>
        <w:rPr>
          <w:rFonts w:asciiTheme="minorHAnsi" w:hAnsiTheme="minorHAnsi"/>
          <w:b/>
        </w:rPr>
      </w:pPr>
      <w:r w:rsidRPr="000E17A8">
        <w:rPr>
          <w:rFonts w:asciiTheme="minorHAnsi" w:hAnsiTheme="minorHAnsi"/>
          <w:b/>
          <w:bCs/>
        </w:rPr>
        <w:t>Prostředky na úhradu možného navýšení cen energií – 70 000,00 tis. Kč</w:t>
      </w:r>
    </w:p>
    <w:p w:rsidR="00841657" w:rsidRPr="000E17A8" w:rsidRDefault="00841657" w:rsidP="000E17A8">
      <w:pPr>
        <w:spacing w:line="240" w:lineRule="auto"/>
        <w:ind w:left="360"/>
        <w:jc w:val="both"/>
        <w:rPr>
          <w:rFonts w:asciiTheme="minorHAnsi" w:hAnsiTheme="minorHAnsi"/>
        </w:rPr>
      </w:pPr>
      <w:r w:rsidRPr="000E17A8">
        <w:rPr>
          <w:rFonts w:asciiTheme="minorHAnsi" w:hAnsiTheme="minorHAnsi"/>
          <w:bCs/>
        </w:rPr>
        <w:t xml:space="preserve">Vyčleněná rezerva na zvýšené ceny energií placených krajským úřadem a příspěvkovými organizacemi Středočeského kraje v roce 2022 a to s ohledem na jejich vývoj v roce 2021 i očekávané vyšší ceny v budoucnu. </w:t>
      </w:r>
    </w:p>
    <w:p w:rsidR="00841657" w:rsidRPr="000E17A8" w:rsidRDefault="00841657" w:rsidP="000E17A8">
      <w:pPr>
        <w:numPr>
          <w:ilvl w:val="0"/>
          <w:numId w:val="5"/>
        </w:numPr>
        <w:spacing w:line="240" w:lineRule="auto"/>
        <w:jc w:val="both"/>
        <w:rPr>
          <w:rFonts w:asciiTheme="minorHAnsi" w:hAnsiTheme="minorHAnsi"/>
          <w:b/>
          <w:szCs w:val="22"/>
        </w:rPr>
      </w:pPr>
      <w:r w:rsidRPr="000E17A8">
        <w:rPr>
          <w:rFonts w:asciiTheme="minorHAnsi" w:hAnsiTheme="minorHAnsi"/>
          <w:b/>
          <w:szCs w:val="22"/>
        </w:rPr>
        <w:t>Prostředky na úhradu možného navýšení mezd - zaměstnanců KÚSK, příspěvkových organizací – 141 980,00 tis. Kč</w:t>
      </w:r>
    </w:p>
    <w:p w:rsidR="00841657" w:rsidRPr="000E17A8" w:rsidRDefault="00841657" w:rsidP="000E17A8">
      <w:pPr>
        <w:spacing w:line="240" w:lineRule="auto"/>
        <w:ind w:left="357"/>
        <w:jc w:val="both"/>
        <w:rPr>
          <w:rFonts w:asciiTheme="minorHAnsi" w:hAnsiTheme="minorHAnsi"/>
          <w:szCs w:val="22"/>
        </w:rPr>
      </w:pPr>
      <w:r w:rsidRPr="000E17A8">
        <w:rPr>
          <w:rFonts w:asciiTheme="minorHAnsi" w:hAnsiTheme="minorHAnsi"/>
          <w:szCs w:val="22"/>
        </w:rPr>
        <w:t>Prostředky ve výši 141 980,00 tis. Kč souvisejí s finančním zajištěním krytí očekávaného navýšení platů zaměstnanců v souvislosti s dalším vládou avizovaným navýšením mzdových tarifů zaměstnanců kraje. Prostředky jsou vedeny na kapitole 23 – Ostatní, kterou spravuje Odbor finanční. V případě vládou schváleného avizovaného nařízení vlády ČR k navýšení mzdových tarifů zaměstnanců budou prostředky dle skutečné potřeby převedeny do kapitol, které rozpočtově vedou mzdové prostředky.</w:t>
      </w:r>
    </w:p>
    <w:p w:rsidR="00841657" w:rsidRPr="000E17A8" w:rsidRDefault="00841657" w:rsidP="000E17A8">
      <w:pPr>
        <w:numPr>
          <w:ilvl w:val="0"/>
          <w:numId w:val="5"/>
        </w:numPr>
        <w:spacing w:line="240" w:lineRule="auto"/>
        <w:jc w:val="both"/>
        <w:rPr>
          <w:rFonts w:asciiTheme="minorHAnsi" w:hAnsiTheme="minorHAnsi"/>
          <w:b/>
          <w:szCs w:val="22"/>
        </w:rPr>
      </w:pPr>
      <w:r w:rsidRPr="000E17A8">
        <w:rPr>
          <w:rFonts w:asciiTheme="minorHAnsi" w:hAnsiTheme="minorHAnsi"/>
          <w:b/>
          <w:szCs w:val="22"/>
        </w:rPr>
        <w:t xml:space="preserve">Rezerva na propad tržeb dopravců </w:t>
      </w:r>
      <w:proofErr w:type="spellStart"/>
      <w:r w:rsidRPr="000E17A8">
        <w:rPr>
          <w:rFonts w:asciiTheme="minorHAnsi" w:hAnsiTheme="minorHAnsi"/>
          <w:b/>
          <w:szCs w:val="22"/>
        </w:rPr>
        <w:t>Covid</w:t>
      </w:r>
      <w:proofErr w:type="spellEnd"/>
      <w:r w:rsidRPr="000E17A8">
        <w:rPr>
          <w:rFonts w:asciiTheme="minorHAnsi" w:hAnsiTheme="minorHAnsi"/>
          <w:b/>
          <w:szCs w:val="22"/>
        </w:rPr>
        <w:t xml:space="preserve"> 2021 – 50 000,00 tis. Kč</w:t>
      </w:r>
    </w:p>
    <w:p w:rsidR="00841657" w:rsidRPr="000E17A8" w:rsidRDefault="00841657" w:rsidP="000E17A8">
      <w:pPr>
        <w:spacing w:line="240" w:lineRule="auto"/>
        <w:ind w:left="360"/>
        <w:jc w:val="both"/>
        <w:rPr>
          <w:rFonts w:asciiTheme="minorHAnsi" w:hAnsiTheme="minorHAnsi"/>
          <w:szCs w:val="22"/>
        </w:rPr>
      </w:pPr>
      <w:r w:rsidRPr="000E17A8">
        <w:rPr>
          <w:rFonts w:asciiTheme="minorHAnsi" w:hAnsiTheme="minorHAnsi"/>
          <w:szCs w:val="22"/>
        </w:rPr>
        <w:t xml:space="preserve">S ohledem na stávající vývoj pandemické situace šíření viru SARS-CoV-2, způsobující onemocnění COVID-19 v České republice a případných vládních </w:t>
      </w:r>
      <w:proofErr w:type="spellStart"/>
      <w:r w:rsidRPr="000E17A8">
        <w:rPr>
          <w:rFonts w:asciiTheme="minorHAnsi" w:hAnsiTheme="minorHAnsi"/>
          <w:szCs w:val="22"/>
        </w:rPr>
        <w:t>protiepidemiologických</w:t>
      </w:r>
      <w:proofErr w:type="spellEnd"/>
      <w:r w:rsidRPr="000E17A8">
        <w:rPr>
          <w:rFonts w:asciiTheme="minorHAnsi" w:hAnsiTheme="minorHAnsi"/>
          <w:szCs w:val="22"/>
        </w:rPr>
        <w:t xml:space="preserve"> opatření, která se </w:t>
      </w:r>
      <w:r w:rsidRPr="000E17A8">
        <w:rPr>
          <w:rFonts w:asciiTheme="minorHAnsi" w:hAnsiTheme="minorHAnsi"/>
          <w:szCs w:val="22"/>
        </w:rPr>
        <w:lastRenderedPageBreak/>
        <w:t>budou podílet na zvládnutí stávající pandemické situace v České republice, může docházet k významnému vlivu na počet pravidelných i nepravidelných přepravovaných cestujících do škol, zaměstnání a bude docházet k výpadku tržeb z jízdného, které nebude možno plně vykompenzovat případným dočasným omezováním dopravy. Z tohoto důvodu je nezbytně nutné vytvoření rezervy, která bude sloužit k tomuto specifickému účelu a to minimální částkou 50 000 000 Kč.</w:t>
      </w:r>
    </w:p>
    <w:p w:rsidR="00841657" w:rsidRPr="000E17A8" w:rsidRDefault="00841657" w:rsidP="000E17A8">
      <w:pPr>
        <w:numPr>
          <w:ilvl w:val="0"/>
          <w:numId w:val="5"/>
        </w:numPr>
        <w:spacing w:line="240" w:lineRule="auto"/>
        <w:jc w:val="both"/>
        <w:rPr>
          <w:rFonts w:asciiTheme="minorHAnsi" w:hAnsiTheme="minorHAnsi"/>
        </w:rPr>
      </w:pPr>
      <w:r w:rsidRPr="000E17A8">
        <w:rPr>
          <w:rFonts w:asciiTheme="minorHAnsi" w:hAnsiTheme="minorHAnsi"/>
          <w:b/>
        </w:rPr>
        <w:t>Prostředky na úhradu možného navýšení mezd - řidičů veřejné dopravy</w:t>
      </w:r>
      <w:r w:rsidRPr="000E17A8">
        <w:rPr>
          <w:rFonts w:asciiTheme="minorHAnsi" w:hAnsiTheme="minorHAnsi"/>
        </w:rPr>
        <w:t xml:space="preserve"> </w:t>
      </w:r>
      <w:r w:rsidRPr="000E17A8">
        <w:rPr>
          <w:rFonts w:asciiTheme="minorHAnsi" w:hAnsiTheme="minorHAnsi"/>
          <w:b/>
          <w:bCs/>
        </w:rPr>
        <w:t>– 40 000,00 tis. Kč</w:t>
      </w:r>
    </w:p>
    <w:p w:rsidR="00841657" w:rsidRPr="000E17A8" w:rsidRDefault="00841657" w:rsidP="000E17A8">
      <w:pPr>
        <w:spacing w:line="240" w:lineRule="auto"/>
        <w:ind w:left="357"/>
        <w:jc w:val="both"/>
        <w:rPr>
          <w:rFonts w:asciiTheme="minorHAnsi" w:hAnsiTheme="minorHAnsi"/>
          <w:szCs w:val="22"/>
        </w:rPr>
      </w:pPr>
      <w:r w:rsidRPr="000E17A8">
        <w:rPr>
          <w:rFonts w:asciiTheme="minorHAnsi" w:hAnsiTheme="minorHAnsi"/>
          <w:szCs w:val="22"/>
        </w:rPr>
        <w:t xml:space="preserve">V roce 2016 došlo ke změně právních předpisů (nařízení vlády č. 336/2016 a č. 337/2016) s účinností od 1. 1. 2017 a následně byla zvýšena i minimální mzda, což se propsalo do navýšení mezd. Středočeský kraj vynaložil v roce 2017 na úhradu ekonomicky oprávněných nákladů dopravců z titulu výše uvedených vládních nařízení 124 mil. Kč, v roce 2018 přepokládanou částku cca 73,4 mil. Kč, v roce 2019 předpokládanou částku 80 mil. Kč, v roce 2020 částku 80 mil. Kč a v roce 2021 částkou 40 mil. Kč. V současné době vláda ČR pro rok 2022 jedná o navýšení minimální mzdy o 1 400 Kč. Vzhledem k tomu, že se bude opět jednat o zvýšení ekonomicky oprávněných nákladů dopravců z titulu růstu mezd, bude proveden výpočet těchto nákladů podle shodné metodiky jako v roce 2017. Podle této metodiky by navýšení minimální mzdy o částku 1 400 Kč v roce 2022 představovalo dopad do rozpočtu Středočeského kraje ve výši cca 100 mil. Kč. Zatím není navýšení definitivně rozhodnuto, z tohoto důvodu se navrhuje vyčlenit jen 40 mil. Kč. </w:t>
      </w:r>
    </w:p>
    <w:p w:rsidR="00841657" w:rsidRPr="000E17A8" w:rsidRDefault="00841657" w:rsidP="000E17A8">
      <w:pPr>
        <w:numPr>
          <w:ilvl w:val="0"/>
          <w:numId w:val="5"/>
        </w:numPr>
        <w:spacing w:line="240" w:lineRule="auto"/>
        <w:jc w:val="both"/>
        <w:rPr>
          <w:rFonts w:asciiTheme="minorHAnsi" w:hAnsiTheme="minorHAnsi"/>
          <w:b/>
          <w:szCs w:val="22"/>
        </w:rPr>
      </w:pPr>
      <w:r w:rsidRPr="000E17A8">
        <w:rPr>
          <w:rFonts w:asciiTheme="minorHAnsi" w:hAnsiTheme="minorHAnsi"/>
          <w:b/>
          <w:szCs w:val="22"/>
        </w:rPr>
        <w:t>Označníky (běžná údržba) – 6 000,00 tis. Kč</w:t>
      </w:r>
    </w:p>
    <w:p w:rsidR="00841657" w:rsidRPr="000E17A8" w:rsidRDefault="00841657" w:rsidP="000E17A8">
      <w:pPr>
        <w:spacing w:line="240" w:lineRule="auto"/>
        <w:ind w:left="357"/>
        <w:jc w:val="both"/>
        <w:rPr>
          <w:rFonts w:asciiTheme="minorHAnsi" w:hAnsiTheme="minorHAnsi"/>
          <w:szCs w:val="22"/>
        </w:rPr>
      </w:pPr>
      <w:r w:rsidRPr="000E17A8">
        <w:rPr>
          <w:rFonts w:asciiTheme="minorHAnsi" w:hAnsiTheme="minorHAnsi"/>
          <w:szCs w:val="22"/>
        </w:rPr>
        <w:t>Od roku 2021 dochází k převodu vlastnického práva označníků z dopravců na Integrovanou dopravu Středočeského kraje, příspěvkovou organizaci. Majitel označníků je povinen provádět běžnou údržbu v průběhu roku tzn. nátěr, výměna poničených částí atd.</w:t>
      </w:r>
    </w:p>
    <w:p w:rsidR="00841657" w:rsidRPr="000E17A8" w:rsidRDefault="00841657" w:rsidP="000E17A8">
      <w:pPr>
        <w:numPr>
          <w:ilvl w:val="0"/>
          <w:numId w:val="5"/>
        </w:numPr>
        <w:spacing w:line="240" w:lineRule="auto"/>
        <w:jc w:val="both"/>
        <w:rPr>
          <w:rFonts w:asciiTheme="minorHAnsi" w:hAnsiTheme="minorHAnsi"/>
          <w:b/>
          <w:szCs w:val="22"/>
        </w:rPr>
      </w:pPr>
      <w:r w:rsidRPr="000E17A8">
        <w:rPr>
          <w:rFonts w:asciiTheme="minorHAnsi" w:hAnsiTheme="minorHAnsi"/>
          <w:b/>
          <w:szCs w:val="22"/>
        </w:rPr>
        <w:t>Rezerva na ostatní dopravní obslužnost – 30 000,00 tis. Kč</w:t>
      </w:r>
    </w:p>
    <w:p w:rsidR="00841657" w:rsidRPr="000E17A8" w:rsidRDefault="00841657" w:rsidP="000E17A8">
      <w:pPr>
        <w:spacing w:line="240" w:lineRule="auto"/>
        <w:ind w:left="357"/>
        <w:jc w:val="both"/>
        <w:rPr>
          <w:rFonts w:asciiTheme="minorHAnsi" w:hAnsiTheme="minorHAnsi"/>
          <w:szCs w:val="22"/>
        </w:rPr>
      </w:pPr>
      <w:r w:rsidRPr="000E17A8">
        <w:rPr>
          <w:rFonts w:asciiTheme="minorHAnsi" w:hAnsiTheme="minorHAnsi"/>
          <w:szCs w:val="22"/>
        </w:rPr>
        <w:t>Od roku 2022 se realizují Standardy dopravní obslužnosti, které rozdělují dopravu do tří kategorií. Minimální dopravní obslužnost je plně hrazena krajem, rozšířená dopravní obslužnost je financována obcemi s podílem Středočeského kraje a dodatečná dopravní obslužnost je plně financována obcemi. Finanční rezerva ve výši 30 mil. Kč bude sloužit k vyrovnávání plateb u obcí, které se mohou dostat do platební neschopnosti, nebo k překlenutí období do doby uzavření smlouvy a jejího finančního plnění, nebo nedodržení termínu plateb s případným přesunem do následujícího roku. Kraj je garantem objednávky rozšířené dopravní obslužnosti a ručí za platby od obcí. S ohledem na velký počet smluv a procesní úkony, se nepředpokládá uzavření všech smluv s obcemi k počátku roku 2022, ale bude docházet k uzavírání v jeho průběhu, toto může být ještě ovlivněno vyjednáváním obcí o rozsahu rozšířené dopravní obslužnosti a její úhradě.</w:t>
      </w:r>
    </w:p>
    <w:p w:rsidR="00841657" w:rsidRPr="000E17A8" w:rsidRDefault="00841657" w:rsidP="000E17A8">
      <w:pPr>
        <w:numPr>
          <w:ilvl w:val="0"/>
          <w:numId w:val="5"/>
        </w:numPr>
        <w:spacing w:line="240" w:lineRule="auto"/>
        <w:jc w:val="both"/>
        <w:rPr>
          <w:rFonts w:asciiTheme="minorHAnsi" w:hAnsiTheme="minorHAnsi"/>
          <w:b/>
          <w:szCs w:val="22"/>
        </w:rPr>
      </w:pPr>
      <w:r w:rsidRPr="000E17A8">
        <w:rPr>
          <w:rFonts w:asciiTheme="minorHAnsi" w:hAnsiTheme="minorHAnsi"/>
          <w:b/>
          <w:szCs w:val="22"/>
        </w:rPr>
        <w:t>Projekty veřejné hromadné dopravy – 5 000,00 tis. Kč</w:t>
      </w:r>
    </w:p>
    <w:p w:rsidR="00841657" w:rsidRPr="000E17A8" w:rsidRDefault="00841657" w:rsidP="000E17A8">
      <w:pPr>
        <w:spacing w:line="240" w:lineRule="auto"/>
        <w:ind w:left="357"/>
        <w:jc w:val="both"/>
        <w:rPr>
          <w:rFonts w:asciiTheme="minorHAnsi" w:hAnsiTheme="minorHAnsi"/>
          <w:szCs w:val="22"/>
        </w:rPr>
      </w:pPr>
      <w:r w:rsidRPr="000E17A8">
        <w:rPr>
          <w:rFonts w:asciiTheme="minorHAnsi" w:hAnsiTheme="minorHAnsi"/>
          <w:szCs w:val="22"/>
        </w:rPr>
        <w:t>Cílem projektů veřejné hromadné dopravy patří zejména pomoc obcím se zkvalitňováním jejich dopravní obslužnosti, což může mít za následek zlepšení veřejné dopravy v oblasti. Mezi případné projekty veřejné hromadné dopravy patří tzv. „Sdílené taxi“ (někdy také kolektivní nebo sběrné linkové taxi) je typ veřejné dopravy, který stojí na pomezí autobusové dopravy a taxi. Jedná se o motorové vozidlo, které jezdí na stanovené trase, avšak v nepravidelných intervalech – ze zastávky někdy odjíždí až poté, kdy je plně obsazeno. Sdílené taxi může a nemusí mít na trase vymezené konkrétní zastávky, lidé však nastupují a vystupují po cestě podle potřeby a na požádání. Sdílená taxi zajišťují kromě příměstské dopravy zpravidla také městskou dopravu. Velikost vozidla se může pohybovat od čtyřsedadlového osobního automobilu po minibus. Případně další projekty včetně studií, zkušebního provozu, které vytvoří podmínky pro uspokojení potřeb mobility lidí i podniků ve Středočeském kraji a přispějí ke zlepšení kvality života nejen v hustě osídlených agregacích.</w:t>
      </w:r>
      <w:r w:rsidRPr="000E17A8">
        <w:rPr>
          <w:rFonts w:asciiTheme="minorHAnsi" w:hAnsiTheme="minorHAnsi"/>
        </w:rPr>
        <w:t xml:space="preserve"> </w:t>
      </w:r>
    </w:p>
    <w:p w:rsidR="00841657" w:rsidRPr="000E17A8" w:rsidRDefault="00841657" w:rsidP="000E17A8">
      <w:pPr>
        <w:numPr>
          <w:ilvl w:val="0"/>
          <w:numId w:val="5"/>
        </w:numPr>
        <w:spacing w:line="240" w:lineRule="auto"/>
        <w:jc w:val="both"/>
        <w:rPr>
          <w:rFonts w:asciiTheme="minorHAnsi" w:hAnsiTheme="minorHAnsi"/>
          <w:b/>
          <w:szCs w:val="22"/>
        </w:rPr>
      </w:pPr>
      <w:r w:rsidRPr="000E17A8">
        <w:rPr>
          <w:rFonts w:asciiTheme="minorHAnsi" w:hAnsiTheme="minorHAnsi"/>
          <w:b/>
          <w:szCs w:val="22"/>
        </w:rPr>
        <w:t>Přeprava osob se zdravotním postižením, držitelé ZTP a ZTP/P - 15 000,00 tis. Kč</w:t>
      </w:r>
    </w:p>
    <w:p w:rsidR="00841657" w:rsidRPr="000E17A8" w:rsidRDefault="00841657" w:rsidP="000E17A8">
      <w:pPr>
        <w:spacing w:line="240" w:lineRule="auto"/>
        <w:ind w:left="357"/>
        <w:jc w:val="both"/>
        <w:rPr>
          <w:rFonts w:asciiTheme="minorHAnsi" w:hAnsiTheme="minorHAnsi"/>
          <w:szCs w:val="22"/>
        </w:rPr>
      </w:pPr>
      <w:r w:rsidRPr="000E17A8">
        <w:rPr>
          <w:rFonts w:asciiTheme="minorHAnsi" w:hAnsiTheme="minorHAnsi"/>
          <w:szCs w:val="22"/>
        </w:rPr>
        <w:t xml:space="preserve">Přes stále se zlepšující podmínky přepravy osob s omezenou schopností pohybu a orientace linkami veřejné hromadné dopravy není v řadě případů využití těchto linek z různých důvodů vhodné či výhodné. Proto Hlavní město Praha pro držitele průkazů ZTP a ZTP/P s trvalým pobytem v Praze nabízí i službu přepravy mikrobusy na objednání nejen po Praze, ale i do vybraných obcí v okolí Prahy na území Středočeského kraje. Od 1. 1. 2022 bude doprava zajišťována novými dopravci. Z důvodu připomínek občanů bydlících v obcích Středočeského kraje obsluhovaných touto </w:t>
      </w:r>
      <w:r w:rsidRPr="000E17A8">
        <w:rPr>
          <w:rFonts w:asciiTheme="minorHAnsi" w:hAnsiTheme="minorHAnsi"/>
          <w:szCs w:val="22"/>
        </w:rPr>
        <w:lastRenderedPageBreak/>
        <w:t>bezbariérovou dopravou se jedná s Hl. m. Prahou o spolupráci a úpravu přepravních podmínek, tak aby tuto „sociální službu“ mohli také využívat.</w:t>
      </w:r>
    </w:p>
    <w:p w:rsidR="00841657" w:rsidRPr="000E17A8" w:rsidRDefault="00841657" w:rsidP="000E17A8">
      <w:pPr>
        <w:numPr>
          <w:ilvl w:val="0"/>
          <w:numId w:val="5"/>
        </w:numPr>
        <w:spacing w:line="240" w:lineRule="auto"/>
        <w:jc w:val="both"/>
        <w:rPr>
          <w:rFonts w:asciiTheme="minorHAnsi" w:hAnsiTheme="minorHAnsi"/>
          <w:b/>
          <w:szCs w:val="22"/>
        </w:rPr>
      </w:pPr>
      <w:r w:rsidRPr="000E17A8">
        <w:rPr>
          <w:rFonts w:asciiTheme="minorHAnsi" w:hAnsiTheme="minorHAnsi"/>
          <w:b/>
          <w:szCs w:val="22"/>
        </w:rPr>
        <w:t>Označníky (obnova) – 12 000,00 tis. Kč</w:t>
      </w:r>
    </w:p>
    <w:p w:rsidR="00841657" w:rsidRPr="000E17A8" w:rsidRDefault="00841657" w:rsidP="000E17A8">
      <w:pPr>
        <w:spacing w:line="240" w:lineRule="auto"/>
        <w:ind w:left="357"/>
        <w:jc w:val="both"/>
        <w:rPr>
          <w:rFonts w:asciiTheme="minorHAnsi" w:hAnsiTheme="minorHAnsi"/>
          <w:szCs w:val="22"/>
        </w:rPr>
      </w:pPr>
      <w:r w:rsidRPr="000E17A8">
        <w:rPr>
          <w:rFonts w:asciiTheme="minorHAnsi" w:hAnsiTheme="minorHAnsi"/>
          <w:szCs w:val="22"/>
        </w:rPr>
        <w:t>Označník zastávky je svislé výrazné označení autobusové nebo trolejbusové zastávky, popřípadě zastávky jiné veřejné nebo i neveřejné dopravy. Vyhláška č. 294/2015 Sb. s účinností od 1. 1. 2016 zavedla pro Českou republiku název „Označník zastávky“ (dopravními značkami se staly na základě vyhlášky 30/2001 Sb.). Podle ostatních zákonů označník zastávky na rozdíl od (ostatních) dopravních značek ani nyní není součástí pozemní komunikace a podle technické normy se jím rozumí i nadále plné označení zastávky. Označník nese základní informace o linkách veřejné dopravy, které zastávku užívají. Finanční prostředky budou sloužit k přirozené obnově označníků z důvodu amortizace a k osazení nových zastávek a k výměně poničených označníků, které nelze opravit.</w:t>
      </w:r>
    </w:p>
    <w:p w:rsidR="00841657" w:rsidRPr="000E17A8" w:rsidRDefault="00841657" w:rsidP="000E17A8">
      <w:pPr>
        <w:numPr>
          <w:ilvl w:val="0"/>
          <w:numId w:val="5"/>
        </w:numPr>
        <w:spacing w:line="240" w:lineRule="auto"/>
        <w:jc w:val="both"/>
        <w:rPr>
          <w:rFonts w:asciiTheme="minorHAnsi" w:hAnsiTheme="minorHAnsi"/>
          <w:b/>
          <w:szCs w:val="22"/>
        </w:rPr>
      </w:pPr>
      <w:r w:rsidRPr="000E17A8">
        <w:rPr>
          <w:rFonts w:asciiTheme="minorHAnsi" w:hAnsiTheme="minorHAnsi"/>
          <w:b/>
          <w:szCs w:val="22"/>
        </w:rPr>
        <w:t>Rezerva – projekty v oblasti dopravy – 2 000,00 tis. Kč</w:t>
      </w:r>
    </w:p>
    <w:p w:rsidR="00841657" w:rsidRPr="000E17A8" w:rsidRDefault="00841657" w:rsidP="000E17A8">
      <w:pPr>
        <w:spacing w:line="240" w:lineRule="auto"/>
        <w:ind w:left="357"/>
        <w:jc w:val="both"/>
        <w:rPr>
          <w:rFonts w:asciiTheme="minorHAnsi" w:hAnsiTheme="minorHAnsi"/>
          <w:szCs w:val="22"/>
        </w:rPr>
      </w:pPr>
      <w:r w:rsidRPr="000E17A8">
        <w:rPr>
          <w:rFonts w:asciiTheme="minorHAnsi" w:hAnsiTheme="minorHAnsi"/>
          <w:szCs w:val="22"/>
        </w:rPr>
        <w:t>Rezerva na projekty v oblasti dopravy, studie: parkoviště P+R u přestupních míst na veřejnou hromadnou dopravu, cyklostezky, přívozy, lodní dopravu, přístaviště atd.</w:t>
      </w:r>
    </w:p>
    <w:p w:rsidR="00841657" w:rsidRPr="000E17A8" w:rsidRDefault="00841657" w:rsidP="000E17A8">
      <w:pPr>
        <w:spacing w:line="240" w:lineRule="auto"/>
        <w:jc w:val="both"/>
        <w:rPr>
          <w:rFonts w:asciiTheme="minorHAnsi" w:hAnsiTheme="minorHAnsi"/>
          <w:b/>
          <w:bCs/>
        </w:rPr>
      </w:pPr>
    </w:p>
    <w:p w:rsidR="00841657" w:rsidRPr="000E17A8" w:rsidRDefault="00841657" w:rsidP="000E17A8">
      <w:pPr>
        <w:spacing w:line="240" w:lineRule="auto"/>
        <w:jc w:val="both"/>
        <w:rPr>
          <w:rFonts w:asciiTheme="minorHAnsi" w:hAnsiTheme="minorHAnsi"/>
          <w:b/>
          <w:bCs/>
        </w:rPr>
      </w:pPr>
      <w:r w:rsidRPr="000E17A8">
        <w:rPr>
          <w:rFonts w:asciiTheme="minorHAnsi" w:hAnsiTheme="minorHAnsi"/>
          <w:b/>
          <w:bCs/>
        </w:rPr>
        <w:t>Splátky úroků z přijatých úvěrů kraje – 196 583,00 tis. Kč</w:t>
      </w:r>
    </w:p>
    <w:p w:rsidR="00841657" w:rsidRPr="000E17A8" w:rsidRDefault="00841657" w:rsidP="000E17A8">
      <w:pPr>
        <w:spacing w:line="240" w:lineRule="auto"/>
        <w:jc w:val="both"/>
        <w:rPr>
          <w:rFonts w:asciiTheme="minorHAnsi" w:hAnsiTheme="minorHAnsi"/>
          <w:bCs/>
        </w:rPr>
      </w:pPr>
      <w:r w:rsidRPr="000E17A8">
        <w:rPr>
          <w:rFonts w:asciiTheme="minorHAnsi" w:hAnsiTheme="minorHAnsi"/>
          <w:bCs/>
        </w:rPr>
        <w:t>Úhrada úroků z přijatých úvěrů:</w:t>
      </w:r>
    </w:p>
    <w:p w:rsidR="00841657" w:rsidRPr="000E17A8" w:rsidRDefault="00841657" w:rsidP="000E17A8">
      <w:pPr>
        <w:numPr>
          <w:ilvl w:val="0"/>
          <w:numId w:val="22"/>
        </w:numPr>
        <w:spacing w:line="240" w:lineRule="auto"/>
        <w:jc w:val="both"/>
        <w:rPr>
          <w:rFonts w:asciiTheme="minorHAnsi" w:hAnsiTheme="minorHAnsi"/>
        </w:rPr>
      </w:pPr>
      <w:r w:rsidRPr="000E17A8">
        <w:rPr>
          <w:rFonts w:asciiTheme="minorHAnsi" w:hAnsiTheme="minorHAnsi"/>
        </w:rPr>
        <w:t xml:space="preserve">Smlouva o úvěru uzavřená s Komerční bankou a. s. v roce 2007 – 43 061,00 tis. Kč, </w:t>
      </w:r>
    </w:p>
    <w:p w:rsidR="00841657" w:rsidRPr="000E17A8" w:rsidRDefault="00841657" w:rsidP="000E17A8">
      <w:pPr>
        <w:numPr>
          <w:ilvl w:val="0"/>
          <w:numId w:val="22"/>
        </w:numPr>
        <w:spacing w:line="240" w:lineRule="auto"/>
        <w:jc w:val="both"/>
        <w:rPr>
          <w:rFonts w:asciiTheme="minorHAnsi" w:hAnsiTheme="minorHAnsi"/>
        </w:rPr>
      </w:pPr>
      <w:r w:rsidRPr="000E17A8">
        <w:rPr>
          <w:rFonts w:asciiTheme="minorHAnsi" w:hAnsiTheme="minorHAnsi"/>
        </w:rPr>
        <w:t>Smlouva o úvěru uzavřené s Českou spořitelnou, a. s. v roce 2019 – 33 800,00 tis. Kč</w:t>
      </w:r>
    </w:p>
    <w:p w:rsidR="00841657" w:rsidRPr="000E17A8" w:rsidRDefault="00841657" w:rsidP="000E17A8">
      <w:pPr>
        <w:numPr>
          <w:ilvl w:val="0"/>
          <w:numId w:val="22"/>
        </w:numPr>
        <w:spacing w:line="240" w:lineRule="auto"/>
        <w:jc w:val="both"/>
        <w:rPr>
          <w:rFonts w:asciiTheme="minorHAnsi" w:hAnsiTheme="minorHAnsi"/>
        </w:rPr>
      </w:pPr>
      <w:r w:rsidRPr="000E17A8">
        <w:rPr>
          <w:rFonts w:asciiTheme="minorHAnsi" w:hAnsiTheme="minorHAnsi"/>
        </w:rPr>
        <w:t>Smlouva o úvěru uzavřená s Komerční bankou a. s. v roce 2020 – 5 550,00 tis. Kč</w:t>
      </w:r>
    </w:p>
    <w:p w:rsidR="00841657" w:rsidRPr="000E17A8" w:rsidRDefault="00841657" w:rsidP="000E17A8">
      <w:pPr>
        <w:numPr>
          <w:ilvl w:val="0"/>
          <w:numId w:val="22"/>
        </w:numPr>
        <w:spacing w:line="240" w:lineRule="auto"/>
        <w:jc w:val="both"/>
        <w:rPr>
          <w:rFonts w:asciiTheme="minorHAnsi" w:hAnsiTheme="minorHAnsi"/>
        </w:rPr>
      </w:pPr>
      <w:r w:rsidRPr="000E17A8">
        <w:rPr>
          <w:rFonts w:asciiTheme="minorHAnsi" w:hAnsiTheme="minorHAnsi"/>
        </w:rPr>
        <w:t>Smlouva o financování uzavřená s Evropskou investiční bankou v roce 2020 a 2021 – 48 015,00 tis. Kč</w:t>
      </w:r>
    </w:p>
    <w:p w:rsidR="00841657" w:rsidRPr="000E17A8" w:rsidRDefault="00841657" w:rsidP="000E17A8">
      <w:pPr>
        <w:numPr>
          <w:ilvl w:val="0"/>
          <w:numId w:val="22"/>
        </w:numPr>
        <w:spacing w:line="240" w:lineRule="auto"/>
        <w:jc w:val="both"/>
        <w:rPr>
          <w:rFonts w:asciiTheme="minorHAnsi" w:hAnsiTheme="minorHAnsi"/>
        </w:rPr>
      </w:pPr>
      <w:r w:rsidRPr="000E17A8">
        <w:rPr>
          <w:rFonts w:asciiTheme="minorHAnsi" w:hAnsiTheme="minorHAnsi"/>
        </w:rPr>
        <w:t>Smlouva o úvěru uzavřená s Českou spořitelnou, a.s. v roce 2021 – 30 500,00 tis. Kč</w:t>
      </w:r>
    </w:p>
    <w:p w:rsidR="00841657" w:rsidRPr="000E17A8" w:rsidRDefault="00841657" w:rsidP="000E17A8">
      <w:pPr>
        <w:numPr>
          <w:ilvl w:val="0"/>
          <w:numId w:val="22"/>
        </w:numPr>
        <w:spacing w:line="240" w:lineRule="auto"/>
        <w:jc w:val="both"/>
        <w:rPr>
          <w:rFonts w:asciiTheme="minorHAnsi" w:hAnsiTheme="minorHAnsi"/>
        </w:rPr>
      </w:pPr>
      <w:r w:rsidRPr="000E17A8">
        <w:rPr>
          <w:rFonts w:asciiTheme="minorHAnsi" w:hAnsiTheme="minorHAnsi"/>
        </w:rPr>
        <w:t>Smlouva o úvěru uzavřená s Komerční bankou, a.s. v roce 2021 – 35 657,00 tis. Kč.</w:t>
      </w:r>
    </w:p>
    <w:p w:rsidR="00841657" w:rsidRPr="000E17A8" w:rsidRDefault="00841657" w:rsidP="000E17A8">
      <w:pPr>
        <w:spacing w:line="240" w:lineRule="auto"/>
        <w:jc w:val="both"/>
        <w:rPr>
          <w:rFonts w:asciiTheme="minorHAnsi" w:hAnsiTheme="minorHAnsi"/>
          <w:bCs/>
        </w:rPr>
      </w:pPr>
      <w:r w:rsidRPr="000E17A8">
        <w:rPr>
          <w:rFonts w:asciiTheme="minorHAnsi" w:hAnsiTheme="minorHAnsi"/>
        </w:rPr>
        <w:t>Vzhledem k vývoji ekonomické situace předpokládá kraj pro rok 2022 úrokové sazby (3M PRIBOR) ve výši 3,3% p. a.</w:t>
      </w:r>
    </w:p>
    <w:p w:rsidR="00841657" w:rsidRPr="000E17A8" w:rsidRDefault="00841657" w:rsidP="000E17A8">
      <w:pPr>
        <w:spacing w:line="240" w:lineRule="auto"/>
        <w:jc w:val="both"/>
        <w:rPr>
          <w:rFonts w:asciiTheme="minorHAnsi" w:hAnsiTheme="minorHAnsi"/>
          <w:b/>
          <w:bCs/>
        </w:rPr>
      </w:pPr>
    </w:p>
    <w:p w:rsidR="00841657" w:rsidRPr="000E17A8" w:rsidRDefault="00841657" w:rsidP="000E17A8">
      <w:pPr>
        <w:spacing w:line="240" w:lineRule="auto"/>
        <w:jc w:val="both"/>
        <w:rPr>
          <w:rFonts w:asciiTheme="minorHAnsi" w:hAnsiTheme="minorHAnsi"/>
          <w:b/>
          <w:bCs/>
        </w:rPr>
      </w:pPr>
      <w:r w:rsidRPr="000E17A8">
        <w:rPr>
          <w:rFonts w:asciiTheme="minorHAnsi" w:hAnsiTheme="minorHAnsi"/>
          <w:b/>
          <w:bCs/>
        </w:rPr>
        <w:t>Dluhová služba za úvěry nemocnic – 191 240,00 tis. Kč</w:t>
      </w:r>
    </w:p>
    <w:p w:rsidR="00841657" w:rsidRPr="000E17A8" w:rsidRDefault="00841657" w:rsidP="000E17A8">
      <w:pPr>
        <w:spacing w:line="240" w:lineRule="auto"/>
        <w:jc w:val="both"/>
        <w:rPr>
          <w:rFonts w:asciiTheme="minorHAnsi" w:hAnsiTheme="minorHAnsi"/>
        </w:rPr>
      </w:pPr>
      <w:r w:rsidRPr="000E17A8">
        <w:rPr>
          <w:rFonts w:asciiTheme="minorHAnsi" w:hAnsiTheme="minorHAnsi"/>
          <w:bCs/>
        </w:rPr>
        <w:t>Částka</w:t>
      </w:r>
      <w:r w:rsidRPr="000E17A8">
        <w:rPr>
          <w:rFonts w:asciiTheme="minorHAnsi" w:hAnsiTheme="minorHAnsi"/>
        </w:rPr>
        <w:t xml:space="preserve"> vyplývá z ručitelských prohlášení Středočeského kraje vystavených za úvěry oblastních nemocnic v Kladně, Příbrami a Kolíně zajišťující splácení úvěrů poskytnutých těmto nemocnicím do celkové výše 1 843 mil. Kč, z tohoto titulu obdrží v roce 2022 jednotlivé akciové společnosti dotace ve výši:</w:t>
      </w:r>
    </w:p>
    <w:p w:rsidR="00841657" w:rsidRPr="000E17A8" w:rsidRDefault="00841657" w:rsidP="000E17A8">
      <w:pPr>
        <w:numPr>
          <w:ilvl w:val="0"/>
          <w:numId w:val="5"/>
        </w:numPr>
        <w:spacing w:line="240" w:lineRule="auto"/>
        <w:jc w:val="both"/>
        <w:rPr>
          <w:rFonts w:asciiTheme="minorHAnsi" w:hAnsiTheme="minorHAnsi"/>
        </w:rPr>
      </w:pPr>
      <w:r w:rsidRPr="000E17A8">
        <w:rPr>
          <w:rFonts w:asciiTheme="minorHAnsi" w:hAnsiTheme="minorHAnsi"/>
        </w:rPr>
        <w:t xml:space="preserve">Oblastní nemocnice </w:t>
      </w:r>
      <w:proofErr w:type="gramStart"/>
      <w:r w:rsidRPr="000E17A8">
        <w:rPr>
          <w:rFonts w:asciiTheme="minorHAnsi" w:hAnsiTheme="minorHAnsi"/>
        </w:rPr>
        <w:t>Příbram                        72 365,00</w:t>
      </w:r>
      <w:proofErr w:type="gramEnd"/>
      <w:r w:rsidRPr="000E17A8">
        <w:rPr>
          <w:rFonts w:asciiTheme="minorHAnsi" w:hAnsiTheme="minorHAnsi"/>
        </w:rPr>
        <w:t xml:space="preserve"> tis. Kč</w:t>
      </w:r>
    </w:p>
    <w:p w:rsidR="00841657" w:rsidRPr="000E17A8" w:rsidRDefault="00841657" w:rsidP="000E17A8">
      <w:pPr>
        <w:numPr>
          <w:ilvl w:val="0"/>
          <w:numId w:val="5"/>
        </w:numPr>
        <w:spacing w:line="240" w:lineRule="auto"/>
        <w:jc w:val="both"/>
        <w:rPr>
          <w:rFonts w:asciiTheme="minorHAnsi" w:hAnsiTheme="minorHAnsi"/>
        </w:rPr>
      </w:pPr>
      <w:r w:rsidRPr="000E17A8">
        <w:rPr>
          <w:rFonts w:asciiTheme="minorHAnsi" w:hAnsiTheme="minorHAnsi"/>
        </w:rPr>
        <w:t xml:space="preserve">Oblastní nemocnice </w:t>
      </w:r>
      <w:proofErr w:type="gramStart"/>
      <w:r w:rsidRPr="000E17A8">
        <w:rPr>
          <w:rFonts w:asciiTheme="minorHAnsi" w:hAnsiTheme="minorHAnsi"/>
        </w:rPr>
        <w:t>Kolín                           17 317,00</w:t>
      </w:r>
      <w:proofErr w:type="gramEnd"/>
      <w:r w:rsidRPr="000E17A8">
        <w:rPr>
          <w:rFonts w:asciiTheme="minorHAnsi" w:hAnsiTheme="minorHAnsi"/>
        </w:rPr>
        <w:t xml:space="preserve"> tis. Kč</w:t>
      </w:r>
    </w:p>
    <w:p w:rsidR="00841657" w:rsidRPr="000E17A8" w:rsidRDefault="00841657" w:rsidP="000E17A8">
      <w:pPr>
        <w:numPr>
          <w:ilvl w:val="0"/>
          <w:numId w:val="5"/>
        </w:numPr>
        <w:spacing w:line="240" w:lineRule="auto"/>
        <w:jc w:val="both"/>
        <w:rPr>
          <w:rFonts w:asciiTheme="minorHAnsi" w:hAnsiTheme="minorHAnsi"/>
        </w:rPr>
      </w:pPr>
      <w:r w:rsidRPr="000E17A8">
        <w:rPr>
          <w:rFonts w:asciiTheme="minorHAnsi" w:hAnsiTheme="minorHAnsi"/>
        </w:rPr>
        <w:t xml:space="preserve">Oblastní nemocnice </w:t>
      </w:r>
      <w:proofErr w:type="gramStart"/>
      <w:r w:rsidRPr="000E17A8">
        <w:rPr>
          <w:rFonts w:asciiTheme="minorHAnsi" w:hAnsiTheme="minorHAnsi"/>
        </w:rPr>
        <w:t>Kladno                       101 558,00</w:t>
      </w:r>
      <w:proofErr w:type="gramEnd"/>
      <w:r w:rsidRPr="000E17A8">
        <w:rPr>
          <w:rFonts w:asciiTheme="minorHAnsi" w:hAnsiTheme="minorHAnsi"/>
        </w:rPr>
        <w:t xml:space="preserve"> tis. Kč</w:t>
      </w:r>
    </w:p>
    <w:p w:rsidR="00841657" w:rsidRPr="000E17A8" w:rsidRDefault="00841657" w:rsidP="000E17A8">
      <w:pPr>
        <w:spacing w:line="240" w:lineRule="auto"/>
        <w:jc w:val="both"/>
        <w:rPr>
          <w:rFonts w:asciiTheme="minorHAnsi" w:hAnsiTheme="minorHAnsi"/>
        </w:rPr>
      </w:pPr>
      <w:proofErr w:type="gramStart"/>
      <w:r w:rsidRPr="000E17A8">
        <w:rPr>
          <w:rFonts w:asciiTheme="minorHAnsi" w:hAnsiTheme="minorHAnsi"/>
        </w:rPr>
        <w:t>Celkem                                                             191 240,00</w:t>
      </w:r>
      <w:proofErr w:type="gramEnd"/>
      <w:r w:rsidRPr="000E17A8">
        <w:rPr>
          <w:rFonts w:asciiTheme="minorHAnsi" w:hAnsiTheme="minorHAnsi"/>
        </w:rPr>
        <w:t xml:space="preserve"> tis. Kč.</w:t>
      </w:r>
    </w:p>
    <w:p w:rsidR="00841657" w:rsidRPr="000E17A8" w:rsidRDefault="00841657" w:rsidP="000E17A8">
      <w:pPr>
        <w:spacing w:line="240" w:lineRule="auto"/>
        <w:jc w:val="both"/>
        <w:rPr>
          <w:rFonts w:asciiTheme="minorHAnsi" w:hAnsiTheme="minorHAnsi"/>
        </w:rPr>
      </w:pPr>
      <w:r w:rsidRPr="000E17A8">
        <w:rPr>
          <w:rFonts w:asciiTheme="minorHAnsi" w:hAnsiTheme="minorHAnsi"/>
        </w:rPr>
        <w:t>K 31. 10. 2021 činí výše záruk za úvěry oblastních nemocnic 645 616,92 tis. Kč.</w:t>
      </w:r>
    </w:p>
    <w:p w:rsidR="00841657" w:rsidRPr="000E17A8" w:rsidRDefault="00841657" w:rsidP="000E17A8">
      <w:pPr>
        <w:spacing w:line="240" w:lineRule="auto"/>
        <w:jc w:val="both"/>
        <w:rPr>
          <w:rFonts w:asciiTheme="minorHAnsi" w:hAnsiTheme="minorHAnsi"/>
        </w:rPr>
      </w:pPr>
    </w:p>
    <w:p w:rsidR="00841657" w:rsidRPr="000E17A8" w:rsidRDefault="00841657" w:rsidP="000E17A8">
      <w:pPr>
        <w:spacing w:line="240" w:lineRule="auto"/>
        <w:jc w:val="both"/>
        <w:rPr>
          <w:rFonts w:asciiTheme="minorHAnsi" w:hAnsiTheme="minorHAnsi"/>
        </w:rPr>
      </w:pPr>
      <w:r w:rsidRPr="000E17A8">
        <w:rPr>
          <w:rFonts w:asciiTheme="minorHAnsi" w:hAnsiTheme="minorHAnsi"/>
          <w:b/>
          <w:bCs/>
        </w:rPr>
        <w:t>Dotace ze státního rozpočtu určené na školství</w:t>
      </w:r>
      <w:r w:rsidRPr="000E17A8">
        <w:rPr>
          <w:rFonts w:asciiTheme="minorHAnsi" w:hAnsiTheme="minorHAnsi"/>
        </w:rPr>
        <w:t xml:space="preserve"> </w:t>
      </w:r>
      <w:r w:rsidRPr="000E17A8">
        <w:rPr>
          <w:rFonts w:asciiTheme="minorHAnsi" w:hAnsiTheme="minorHAnsi"/>
          <w:b/>
          <w:bCs/>
        </w:rPr>
        <w:t>– 23 245 000,00 tis. Kč</w:t>
      </w:r>
      <w:r w:rsidRPr="000E17A8">
        <w:rPr>
          <w:rFonts w:asciiTheme="minorHAnsi" w:hAnsiTheme="minorHAnsi"/>
        </w:rPr>
        <w:t xml:space="preserve"> </w:t>
      </w:r>
    </w:p>
    <w:p w:rsidR="00841657" w:rsidRPr="000E17A8" w:rsidRDefault="00841657" w:rsidP="000E17A8">
      <w:pPr>
        <w:spacing w:line="240" w:lineRule="auto"/>
        <w:jc w:val="both"/>
        <w:rPr>
          <w:rFonts w:asciiTheme="minorHAnsi" w:hAnsiTheme="minorHAnsi"/>
        </w:rPr>
      </w:pPr>
      <w:r w:rsidRPr="000E17A8">
        <w:rPr>
          <w:rFonts w:asciiTheme="minorHAnsi" w:hAnsiTheme="minorHAnsi"/>
        </w:rPr>
        <w:t>Prostředky jsou základním zdrojem financování přímých nákladů na vzdělávání - výdajů na platy a ostatní neinvestiční výdaje škol a školských zařízení zřizovaných Středočeským krajem, škol a školských zařízení zřizovaných obcemi Středočeského kraje a soukromých škol. Ve stejném objemu je tato dotace obsažena v příjmové části rozpočtu.</w:t>
      </w:r>
    </w:p>
    <w:p w:rsidR="00841657" w:rsidRPr="000E17A8" w:rsidRDefault="00841657" w:rsidP="000E17A8">
      <w:pPr>
        <w:spacing w:line="240" w:lineRule="auto"/>
        <w:jc w:val="both"/>
        <w:rPr>
          <w:rFonts w:asciiTheme="minorHAnsi" w:hAnsiTheme="minorHAnsi"/>
        </w:rPr>
      </w:pPr>
    </w:p>
    <w:p w:rsidR="00841657" w:rsidRPr="000E17A8" w:rsidRDefault="00841657" w:rsidP="000E17A8">
      <w:pPr>
        <w:spacing w:line="240" w:lineRule="auto"/>
        <w:jc w:val="both"/>
        <w:rPr>
          <w:rFonts w:asciiTheme="minorHAnsi" w:hAnsiTheme="minorHAnsi"/>
          <w:b/>
        </w:rPr>
      </w:pPr>
      <w:r w:rsidRPr="000E17A8">
        <w:rPr>
          <w:rFonts w:asciiTheme="minorHAnsi" w:hAnsiTheme="minorHAnsi"/>
          <w:b/>
        </w:rPr>
        <w:t>Financování</w:t>
      </w:r>
      <w:r w:rsidRPr="000E17A8">
        <w:rPr>
          <w:rFonts w:asciiTheme="minorHAnsi" w:hAnsiTheme="minorHAnsi"/>
        </w:rPr>
        <w:t xml:space="preserve"> ve výdajích představuje </w:t>
      </w:r>
      <w:r w:rsidRPr="000E17A8">
        <w:rPr>
          <w:rFonts w:asciiTheme="minorHAnsi" w:hAnsiTheme="minorHAnsi"/>
          <w:b/>
        </w:rPr>
        <w:t>splátky jistin přijatých úvěrů kraje – 2 317 627,00 tis Kč:</w:t>
      </w:r>
    </w:p>
    <w:p w:rsidR="00841657" w:rsidRPr="000E17A8" w:rsidRDefault="00841657" w:rsidP="000E17A8">
      <w:pPr>
        <w:numPr>
          <w:ilvl w:val="0"/>
          <w:numId w:val="23"/>
        </w:numPr>
        <w:spacing w:line="240" w:lineRule="auto"/>
        <w:ind w:left="360"/>
        <w:jc w:val="both"/>
        <w:rPr>
          <w:rFonts w:asciiTheme="minorHAnsi" w:hAnsiTheme="minorHAnsi"/>
        </w:rPr>
      </w:pPr>
      <w:r w:rsidRPr="000E17A8">
        <w:rPr>
          <w:rFonts w:asciiTheme="minorHAnsi" w:hAnsiTheme="minorHAnsi"/>
        </w:rPr>
        <w:t>Smlouva o úvěru uzavřená s Komerční bankou, a.s. v roce 2007 – splátka ve výši 239 487,00 tis. Kč. Stav úvěru k 31. 10. 2021 činil 1 436 920,87 tis. Kč,</w:t>
      </w:r>
    </w:p>
    <w:p w:rsidR="00841657" w:rsidRPr="000E17A8" w:rsidRDefault="00841657" w:rsidP="000E17A8">
      <w:pPr>
        <w:numPr>
          <w:ilvl w:val="0"/>
          <w:numId w:val="23"/>
        </w:numPr>
        <w:spacing w:line="240" w:lineRule="auto"/>
        <w:ind w:left="360"/>
        <w:jc w:val="both"/>
        <w:rPr>
          <w:rFonts w:asciiTheme="minorHAnsi" w:hAnsiTheme="minorHAnsi"/>
        </w:rPr>
      </w:pPr>
      <w:r w:rsidRPr="000E17A8">
        <w:rPr>
          <w:rFonts w:asciiTheme="minorHAnsi" w:hAnsiTheme="minorHAnsi"/>
        </w:rPr>
        <w:t>Smlouva o úvěru uzavřená s Českou spořitelnou a.s. v roce 2019 – splátka</w:t>
      </w:r>
      <w:r w:rsidRPr="000E17A8">
        <w:rPr>
          <w:rFonts w:asciiTheme="minorHAnsi" w:hAnsiTheme="minorHAnsi"/>
          <w:b/>
        </w:rPr>
        <w:t xml:space="preserve"> </w:t>
      </w:r>
      <w:r w:rsidRPr="000E17A8">
        <w:rPr>
          <w:rFonts w:asciiTheme="minorHAnsi" w:hAnsiTheme="minorHAnsi"/>
        </w:rPr>
        <w:t>ve výši 2 000 000,00 tis. Kč. Stav úvěru k 31. 10. 2021 činil 2 000 000,00 tis. Kč,</w:t>
      </w:r>
    </w:p>
    <w:p w:rsidR="00841657" w:rsidRPr="000E17A8" w:rsidRDefault="00841657" w:rsidP="000E17A8">
      <w:pPr>
        <w:numPr>
          <w:ilvl w:val="0"/>
          <w:numId w:val="23"/>
        </w:numPr>
        <w:spacing w:line="240" w:lineRule="auto"/>
        <w:ind w:left="360"/>
        <w:jc w:val="both"/>
        <w:rPr>
          <w:rFonts w:asciiTheme="minorHAnsi" w:hAnsiTheme="minorHAnsi"/>
        </w:rPr>
      </w:pPr>
      <w:r w:rsidRPr="000E17A8">
        <w:rPr>
          <w:rFonts w:asciiTheme="minorHAnsi" w:hAnsiTheme="minorHAnsi"/>
        </w:rPr>
        <w:lastRenderedPageBreak/>
        <w:t xml:space="preserve">Smlouva o úvěru uzavřená s Komerční bankou, a.s. v roce 2020 – splátka ve výši 78 140,00 tis. Kč. Stav úvěru k 31. 10. 2021 činil 214 885,00 tis. Kč. </w:t>
      </w:r>
    </w:p>
    <w:p w:rsidR="00841657" w:rsidRPr="000E17A8" w:rsidRDefault="00841657" w:rsidP="000E17A8">
      <w:pPr>
        <w:spacing w:line="240" w:lineRule="auto"/>
        <w:jc w:val="both"/>
        <w:rPr>
          <w:rFonts w:asciiTheme="minorHAnsi" w:hAnsiTheme="minorHAnsi"/>
        </w:rPr>
      </w:pPr>
    </w:p>
    <w:p w:rsidR="00841657" w:rsidRPr="000E17A8" w:rsidRDefault="00841657" w:rsidP="000E17A8">
      <w:pPr>
        <w:spacing w:line="240" w:lineRule="auto"/>
        <w:jc w:val="both"/>
        <w:rPr>
          <w:rFonts w:asciiTheme="minorHAnsi" w:hAnsiTheme="minorHAnsi"/>
        </w:rPr>
      </w:pPr>
      <w:r w:rsidRPr="000E17A8">
        <w:rPr>
          <w:rFonts w:asciiTheme="minorHAnsi" w:hAnsiTheme="minorHAnsi"/>
        </w:rPr>
        <w:t xml:space="preserve">V rozpočtu není plánováno poskytnutí dotací na krytí ztrátové činnosti nemocnicím Středočeského kraje díky zlepšenému hospodaření těchto nemocnic. </w:t>
      </w:r>
    </w:p>
    <w:p w:rsidR="00841657" w:rsidRPr="000E17A8" w:rsidRDefault="00841657" w:rsidP="000E17A8">
      <w:pPr>
        <w:pStyle w:val="Normln1"/>
        <w:rPr>
          <w:rFonts w:asciiTheme="minorHAnsi" w:hAnsiTheme="minorHAnsi"/>
        </w:rPr>
      </w:pPr>
      <w:bookmarkStart w:id="0" w:name="_GoBack"/>
      <w:bookmarkEnd w:id="0"/>
    </w:p>
    <w:sectPr w:rsidR="00841657" w:rsidRPr="000E17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5pt;height:7.5pt" o:bullet="t">
        <v:imagedata r:id="rId1" o:title=""/>
      </v:shape>
    </w:pict>
  </w:numPicBullet>
  <w:abstractNum w:abstractNumId="0" w15:restartNumberingAfterBreak="0">
    <w:nsid w:val="00991565"/>
    <w:multiLevelType w:val="hybridMultilevel"/>
    <w:tmpl w:val="4582F8AC"/>
    <w:lvl w:ilvl="0" w:tplc="331E60F6">
      <w:numFmt w:val="bullet"/>
      <w:pStyle w:val="odrazky"/>
      <w:lvlText w:val=""/>
      <w:lvlPicBulletId w:val="0"/>
      <w:lvlJc w:val="left"/>
      <w:pPr>
        <w:tabs>
          <w:tab w:val="num" w:pos="284"/>
        </w:tabs>
        <w:ind w:left="284" w:hanging="284"/>
      </w:pPr>
      <w:rPr>
        <w:rFonts w:ascii="Symbol" w:eastAsia="Times New Roman" w:hAnsi="Symbol" w:hint="default"/>
        <w:color w:val="auto"/>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3F771C"/>
    <w:multiLevelType w:val="hybridMultilevel"/>
    <w:tmpl w:val="59C654F2"/>
    <w:lvl w:ilvl="0" w:tplc="04050001">
      <w:start w:val="1"/>
      <w:numFmt w:val="bullet"/>
      <w:lvlText w:val=""/>
      <w:lvlJc w:val="left"/>
      <w:pPr>
        <w:ind w:left="720" w:hanging="360"/>
      </w:pPr>
      <w:rPr>
        <w:rFonts w:ascii="Symbol" w:hAnsi="Symbol" w:hint="default"/>
      </w:rPr>
    </w:lvl>
    <w:lvl w:ilvl="1" w:tplc="CD3624F2">
      <w:numFmt w:val="bullet"/>
      <w:lvlText w:val=""/>
      <w:lvlJc w:val="left"/>
      <w:pPr>
        <w:ind w:left="1440" w:hanging="360"/>
      </w:pPr>
      <w:rPr>
        <w:rFonts w:ascii="Symbol" w:eastAsia="Times New Roman" w:hAnsi="Symbol"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C30AD1"/>
    <w:multiLevelType w:val="hybridMultilevel"/>
    <w:tmpl w:val="4442F2A8"/>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 w15:restartNumberingAfterBreak="0">
    <w:nsid w:val="0C0438DD"/>
    <w:multiLevelType w:val="hybridMultilevel"/>
    <w:tmpl w:val="62E42F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8B0FAC"/>
    <w:multiLevelType w:val="hybridMultilevel"/>
    <w:tmpl w:val="F086EB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2FD3833"/>
    <w:multiLevelType w:val="hybridMultilevel"/>
    <w:tmpl w:val="CCD6C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6A42E2"/>
    <w:multiLevelType w:val="hybridMultilevel"/>
    <w:tmpl w:val="24BE02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D8A6BE9"/>
    <w:multiLevelType w:val="hybridMultilevel"/>
    <w:tmpl w:val="432432EA"/>
    <w:lvl w:ilvl="0" w:tplc="E5128C9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59A1425"/>
    <w:multiLevelType w:val="hybridMultilevel"/>
    <w:tmpl w:val="FEA227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3B9B5F5C"/>
    <w:multiLevelType w:val="hybridMultilevel"/>
    <w:tmpl w:val="0C184A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E836C70"/>
    <w:multiLevelType w:val="hybridMultilevel"/>
    <w:tmpl w:val="92A66A96"/>
    <w:lvl w:ilvl="0" w:tplc="B7CCBA1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F624656"/>
    <w:multiLevelType w:val="hybridMultilevel"/>
    <w:tmpl w:val="2D72E8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8C5B73"/>
    <w:multiLevelType w:val="hybridMultilevel"/>
    <w:tmpl w:val="479A382C"/>
    <w:lvl w:ilvl="0" w:tplc="A0C098A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52A6340"/>
    <w:multiLevelType w:val="hybridMultilevel"/>
    <w:tmpl w:val="D0EEF5F2"/>
    <w:lvl w:ilvl="0" w:tplc="27A0B2FA">
      <w:numFmt w:val="bullet"/>
      <w:lvlText w:val="-"/>
      <w:lvlJc w:val="left"/>
      <w:pPr>
        <w:ind w:left="780" w:hanging="360"/>
      </w:pPr>
      <w:rPr>
        <w:rFonts w:ascii="Times New Roman" w:eastAsia="Times New Roman" w:hAnsi="Times New Roman" w:cs="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4" w15:restartNumberingAfterBreak="0">
    <w:nsid w:val="56F66BCA"/>
    <w:multiLevelType w:val="hybridMultilevel"/>
    <w:tmpl w:val="C2748A78"/>
    <w:lvl w:ilvl="0" w:tplc="FC2A9C1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A121B73"/>
    <w:multiLevelType w:val="hybridMultilevel"/>
    <w:tmpl w:val="0D1E829C"/>
    <w:lvl w:ilvl="0" w:tplc="E5128C9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D7B1289"/>
    <w:multiLevelType w:val="hybridMultilevel"/>
    <w:tmpl w:val="5FFE2716"/>
    <w:lvl w:ilvl="0" w:tplc="CC488F42">
      <w:start w:val="18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60FB3B12"/>
    <w:multiLevelType w:val="hybridMultilevel"/>
    <w:tmpl w:val="CAB40C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1EA24A4"/>
    <w:multiLevelType w:val="hybridMultilevel"/>
    <w:tmpl w:val="D786AB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F5677F1"/>
    <w:multiLevelType w:val="hybridMultilevel"/>
    <w:tmpl w:val="770EB0E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70623E18"/>
    <w:multiLevelType w:val="hybridMultilevel"/>
    <w:tmpl w:val="86BC57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4E123E8"/>
    <w:multiLevelType w:val="hybridMultilevel"/>
    <w:tmpl w:val="73A2A56E"/>
    <w:lvl w:ilvl="0" w:tplc="FC2A9C18">
      <w:numFmt w:val="bullet"/>
      <w:lvlText w:val="-"/>
      <w:lvlJc w:val="left"/>
      <w:pPr>
        <w:ind w:left="780" w:hanging="360"/>
      </w:pPr>
      <w:rPr>
        <w:rFonts w:ascii="Times New Roman" w:eastAsia="Times New Roman" w:hAnsi="Times New Roman" w:cs="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2" w15:restartNumberingAfterBreak="0">
    <w:nsid w:val="7D4F19EE"/>
    <w:multiLevelType w:val="hybridMultilevel"/>
    <w:tmpl w:val="54E2CCA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6"/>
  </w:num>
  <w:num w:numId="4">
    <w:abstractNumId w:val="6"/>
  </w:num>
  <w:num w:numId="5">
    <w:abstractNumId w:val="22"/>
  </w:num>
  <w:num w:numId="6">
    <w:abstractNumId w:val="3"/>
  </w:num>
  <w:num w:numId="7">
    <w:abstractNumId w:val="18"/>
  </w:num>
  <w:num w:numId="8">
    <w:abstractNumId w:val="11"/>
  </w:num>
  <w:num w:numId="9">
    <w:abstractNumId w:val="8"/>
  </w:num>
  <w:num w:numId="10">
    <w:abstractNumId w:val="17"/>
  </w:num>
  <w:num w:numId="11">
    <w:abstractNumId w:val="1"/>
  </w:num>
  <w:num w:numId="12">
    <w:abstractNumId w:val="10"/>
  </w:num>
  <w:num w:numId="13">
    <w:abstractNumId w:val="4"/>
  </w:num>
  <w:num w:numId="14">
    <w:abstractNumId w:val="5"/>
  </w:num>
  <w:num w:numId="15">
    <w:abstractNumId w:val="12"/>
  </w:num>
  <w:num w:numId="16">
    <w:abstractNumId w:val="14"/>
  </w:num>
  <w:num w:numId="17">
    <w:abstractNumId w:val="15"/>
  </w:num>
  <w:num w:numId="18">
    <w:abstractNumId w:val="7"/>
  </w:num>
  <w:num w:numId="19">
    <w:abstractNumId w:val="13"/>
  </w:num>
  <w:num w:numId="20">
    <w:abstractNumId w:val="21"/>
  </w:num>
  <w:num w:numId="21">
    <w:abstractNumId w:val="2"/>
  </w:num>
  <w:num w:numId="22">
    <w:abstractNumId w:val="19"/>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657"/>
    <w:rsid w:val="000E17A8"/>
    <w:rsid w:val="00637F76"/>
    <w:rsid w:val="006E09AF"/>
    <w:rsid w:val="00841657"/>
    <w:rsid w:val="00A51B30"/>
    <w:rsid w:val="00DD24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E889D703-0768-46AF-8123-94FAABDCA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41657"/>
    <w:pPr>
      <w:spacing w:after="0" w:line="340" w:lineRule="atLeast"/>
    </w:pPr>
    <w:rPr>
      <w:rFonts w:ascii="Times New Roman" w:eastAsia="Times New Roman" w:hAnsi="Times New Roman" w:cs="Times New Roman"/>
      <w:szCs w:val="24"/>
      <w:lang w:eastAsia="cs-CZ"/>
    </w:rPr>
  </w:style>
  <w:style w:type="paragraph" w:styleId="Nadpis1">
    <w:name w:val="heading 1"/>
    <w:basedOn w:val="Normln"/>
    <w:next w:val="Normln"/>
    <w:link w:val="Nadpis1Char"/>
    <w:qFormat/>
    <w:rsid w:val="00841657"/>
    <w:pPr>
      <w:keepNext/>
      <w:spacing w:before="240" w:after="60"/>
      <w:outlineLvl w:val="0"/>
    </w:pPr>
    <w:rPr>
      <w:rFonts w:cs="Arial"/>
      <w:b/>
      <w:bCs/>
      <w:kern w:val="32"/>
      <w:sz w:val="28"/>
      <w:szCs w:val="32"/>
    </w:rPr>
  </w:style>
  <w:style w:type="paragraph" w:styleId="Nadpis2">
    <w:name w:val="heading 2"/>
    <w:basedOn w:val="Normln"/>
    <w:next w:val="Normln"/>
    <w:link w:val="Nadpis2Char"/>
    <w:qFormat/>
    <w:rsid w:val="00841657"/>
    <w:pPr>
      <w:keepNext/>
      <w:spacing w:before="240" w:after="60"/>
      <w:outlineLvl w:val="1"/>
    </w:pPr>
    <w:rPr>
      <w:rFonts w:cs="Arial"/>
      <w:b/>
      <w:bCs/>
      <w:i/>
      <w:iCs/>
      <w:sz w:val="24"/>
      <w:szCs w:val="28"/>
    </w:rPr>
  </w:style>
  <w:style w:type="paragraph" w:styleId="Nadpis3">
    <w:name w:val="heading 3"/>
    <w:basedOn w:val="Normln"/>
    <w:next w:val="Normln"/>
    <w:link w:val="Nadpis3Char"/>
    <w:qFormat/>
    <w:rsid w:val="00841657"/>
    <w:pPr>
      <w:keepNext/>
      <w:spacing w:before="240" w:after="60"/>
      <w:outlineLvl w:val="2"/>
    </w:pPr>
    <w:rPr>
      <w:rFonts w:cs="Arial"/>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41657"/>
    <w:rPr>
      <w:rFonts w:ascii="Times New Roman" w:eastAsia="Times New Roman" w:hAnsi="Times New Roman" w:cs="Arial"/>
      <w:b/>
      <w:bCs/>
      <w:kern w:val="32"/>
      <w:sz w:val="28"/>
      <w:szCs w:val="32"/>
      <w:lang w:eastAsia="cs-CZ"/>
    </w:rPr>
  </w:style>
  <w:style w:type="character" w:customStyle="1" w:styleId="Nadpis2Char">
    <w:name w:val="Nadpis 2 Char"/>
    <w:basedOn w:val="Standardnpsmoodstavce"/>
    <w:link w:val="Nadpis2"/>
    <w:rsid w:val="00841657"/>
    <w:rPr>
      <w:rFonts w:ascii="Times New Roman" w:eastAsia="Times New Roman" w:hAnsi="Times New Roman" w:cs="Arial"/>
      <w:b/>
      <w:bCs/>
      <w:i/>
      <w:iCs/>
      <w:sz w:val="24"/>
      <w:szCs w:val="28"/>
      <w:lang w:eastAsia="cs-CZ"/>
    </w:rPr>
  </w:style>
  <w:style w:type="character" w:customStyle="1" w:styleId="Nadpis3Char">
    <w:name w:val="Nadpis 3 Char"/>
    <w:basedOn w:val="Standardnpsmoodstavce"/>
    <w:link w:val="Nadpis3"/>
    <w:rsid w:val="00841657"/>
    <w:rPr>
      <w:rFonts w:ascii="Times New Roman" w:eastAsia="Times New Roman" w:hAnsi="Times New Roman" w:cs="Arial"/>
      <w:b/>
      <w:bCs/>
      <w:szCs w:val="26"/>
      <w:lang w:eastAsia="cs-CZ"/>
    </w:rPr>
  </w:style>
  <w:style w:type="paragraph" w:styleId="Zhlav">
    <w:name w:val="header"/>
    <w:basedOn w:val="Normln"/>
    <w:link w:val="ZhlavChar"/>
    <w:rsid w:val="00841657"/>
    <w:pPr>
      <w:tabs>
        <w:tab w:val="center" w:pos="4536"/>
        <w:tab w:val="right" w:pos="9072"/>
      </w:tabs>
      <w:jc w:val="right"/>
    </w:pPr>
  </w:style>
  <w:style w:type="character" w:customStyle="1" w:styleId="ZhlavChar">
    <w:name w:val="Záhlaví Char"/>
    <w:basedOn w:val="Standardnpsmoodstavce"/>
    <w:link w:val="Zhlav"/>
    <w:rsid w:val="00841657"/>
    <w:rPr>
      <w:rFonts w:ascii="Times New Roman" w:eastAsia="Times New Roman" w:hAnsi="Times New Roman" w:cs="Times New Roman"/>
      <w:szCs w:val="24"/>
      <w:lang w:eastAsia="cs-CZ"/>
    </w:rPr>
  </w:style>
  <w:style w:type="paragraph" w:styleId="Zpat">
    <w:name w:val="footer"/>
    <w:basedOn w:val="Normln"/>
    <w:link w:val="ZpatChar"/>
    <w:rsid w:val="00841657"/>
    <w:pPr>
      <w:tabs>
        <w:tab w:val="center" w:pos="4536"/>
        <w:tab w:val="right" w:pos="9072"/>
      </w:tabs>
      <w:spacing w:line="240" w:lineRule="atLeast"/>
      <w:ind w:right="-1134"/>
    </w:pPr>
    <w:rPr>
      <w:sz w:val="18"/>
    </w:rPr>
  </w:style>
  <w:style w:type="character" w:customStyle="1" w:styleId="ZpatChar">
    <w:name w:val="Zápatí Char"/>
    <w:basedOn w:val="Standardnpsmoodstavce"/>
    <w:link w:val="Zpat"/>
    <w:rsid w:val="00841657"/>
    <w:rPr>
      <w:rFonts w:ascii="Times New Roman" w:eastAsia="Times New Roman" w:hAnsi="Times New Roman" w:cs="Times New Roman"/>
      <w:sz w:val="18"/>
      <w:szCs w:val="24"/>
      <w:lang w:eastAsia="cs-CZ"/>
    </w:rPr>
  </w:style>
  <w:style w:type="character" w:styleId="Hypertextovodkaz">
    <w:name w:val="Hyperlink"/>
    <w:rsid w:val="00841657"/>
    <w:rPr>
      <w:color w:val="0000FF"/>
      <w:u w:val="single"/>
    </w:rPr>
  </w:style>
  <w:style w:type="paragraph" w:customStyle="1" w:styleId="jmeno">
    <w:name w:val="jmeno"/>
    <w:basedOn w:val="Normln"/>
    <w:rsid w:val="00841657"/>
    <w:pPr>
      <w:spacing w:after="1260" w:line="780" w:lineRule="exact"/>
      <w:ind w:left="3544"/>
    </w:pPr>
    <w:rPr>
      <w:color w:val="777881"/>
    </w:rPr>
  </w:style>
  <w:style w:type="paragraph" w:customStyle="1" w:styleId="datum">
    <w:name w:val="datum"/>
    <w:basedOn w:val="Normln"/>
    <w:next w:val="Normln"/>
    <w:rsid w:val="00841657"/>
    <w:pPr>
      <w:jc w:val="right"/>
    </w:pPr>
  </w:style>
  <w:style w:type="character" w:styleId="slostrnky">
    <w:name w:val="page number"/>
    <w:basedOn w:val="Standardnpsmoodstavce"/>
    <w:rsid w:val="00841657"/>
  </w:style>
  <w:style w:type="table" w:styleId="Mkatabulky">
    <w:name w:val="Table Grid"/>
    <w:basedOn w:val="Normlntabulka"/>
    <w:rsid w:val="00841657"/>
    <w:pPr>
      <w:spacing w:after="0" w:line="340" w:lineRule="atLeast"/>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un">
    <w:name w:val="tučně"/>
    <w:basedOn w:val="Normln"/>
    <w:next w:val="Normln"/>
    <w:link w:val="tunChar"/>
    <w:rsid w:val="00841657"/>
    <w:rPr>
      <w:b/>
    </w:rPr>
  </w:style>
  <w:style w:type="character" w:customStyle="1" w:styleId="tunChar">
    <w:name w:val="tučně Char"/>
    <w:link w:val="tun"/>
    <w:rsid w:val="00841657"/>
    <w:rPr>
      <w:rFonts w:ascii="Times New Roman" w:eastAsia="Times New Roman" w:hAnsi="Times New Roman" w:cs="Times New Roman"/>
      <w:b/>
      <w:szCs w:val="24"/>
      <w:lang w:eastAsia="cs-CZ"/>
    </w:rPr>
  </w:style>
  <w:style w:type="paragraph" w:customStyle="1" w:styleId="odbor">
    <w:name w:val="odbor"/>
    <w:basedOn w:val="Zpat"/>
    <w:rsid w:val="00841657"/>
    <w:rPr>
      <w:b/>
      <w:color w:val="184195"/>
    </w:rPr>
  </w:style>
  <w:style w:type="paragraph" w:customStyle="1" w:styleId="Normln1">
    <w:name w:val="Normální 1"/>
    <w:basedOn w:val="Normln"/>
    <w:rsid w:val="00841657"/>
    <w:pPr>
      <w:spacing w:line="240" w:lineRule="auto"/>
    </w:pPr>
  </w:style>
  <w:style w:type="paragraph" w:customStyle="1" w:styleId="Char1">
    <w:name w:val="Char1"/>
    <w:basedOn w:val="Normln"/>
    <w:uiPriority w:val="99"/>
    <w:rsid w:val="00841657"/>
    <w:pPr>
      <w:widowControl w:val="0"/>
      <w:adjustRightInd w:val="0"/>
      <w:spacing w:after="160" w:line="240" w:lineRule="exact"/>
      <w:jc w:val="both"/>
      <w:textAlignment w:val="baseline"/>
    </w:pPr>
    <w:rPr>
      <w:rFonts w:ascii="Times New Roman Bold" w:hAnsi="Times New Roman Bold" w:cs="Times New Roman Bold"/>
      <w:szCs w:val="22"/>
      <w:lang w:val="sk-SK" w:eastAsia="en-US"/>
    </w:rPr>
  </w:style>
  <w:style w:type="paragraph" w:customStyle="1" w:styleId="Char1CharCharCharChar">
    <w:name w:val="Char1 Char Char Char Char"/>
    <w:basedOn w:val="Normln"/>
    <w:rsid w:val="00841657"/>
    <w:pPr>
      <w:widowControl w:val="0"/>
      <w:adjustRightInd w:val="0"/>
      <w:spacing w:after="160" w:line="240" w:lineRule="exact"/>
      <w:jc w:val="both"/>
      <w:textAlignment w:val="baseline"/>
    </w:pPr>
    <w:rPr>
      <w:rFonts w:ascii="Verdana" w:hAnsi="Verdana"/>
      <w:sz w:val="20"/>
      <w:szCs w:val="20"/>
      <w:lang w:val="en-US" w:eastAsia="en-US"/>
    </w:rPr>
  </w:style>
  <w:style w:type="paragraph" w:styleId="Textbubliny">
    <w:name w:val="Balloon Text"/>
    <w:basedOn w:val="Normln"/>
    <w:link w:val="TextbublinyChar"/>
    <w:uiPriority w:val="99"/>
    <w:semiHidden/>
    <w:unhideWhenUsed/>
    <w:rsid w:val="00841657"/>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41657"/>
    <w:rPr>
      <w:rFonts w:ascii="Tahoma" w:eastAsia="Times New Roman" w:hAnsi="Tahoma" w:cs="Tahoma"/>
      <w:sz w:val="16"/>
      <w:szCs w:val="16"/>
      <w:lang w:eastAsia="cs-CZ"/>
    </w:rPr>
  </w:style>
  <w:style w:type="paragraph" w:customStyle="1" w:styleId="Char1Char">
    <w:name w:val="Char1 Char"/>
    <w:basedOn w:val="Normln"/>
    <w:uiPriority w:val="99"/>
    <w:rsid w:val="00841657"/>
    <w:pPr>
      <w:widowControl w:val="0"/>
      <w:adjustRightInd w:val="0"/>
      <w:spacing w:after="160" w:line="240" w:lineRule="exact"/>
      <w:jc w:val="both"/>
      <w:textAlignment w:val="baseline"/>
    </w:pPr>
    <w:rPr>
      <w:rFonts w:ascii="Times New Roman Bold" w:hAnsi="Times New Roman Bold" w:cs="Times New Roman Bold"/>
      <w:szCs w:val="22"/>
      <w:lang w:val="sk-SK" w:eastAsia="en-US"/>
    </w:rPr>
  </w:style>
  <w:style w:type="paragraph" w:customStyle="1" w:styleId="odrazky">
    <w:name w:val="odrazky"/>
    <w:basedOn w:val="Normln"/>
    <w:uiPriority w:val="99"/>
    <w:rsid w:val="00841657"/>
    <w:pPr>
      <w:numPr>
        <w:numId w:val="1"/>
      </w:numPr>
      <w:spacing w:line="240" w:lineRule="auto"/>
    </w:pPr>
    <w:rPr>
      <w:szCs w:val="22"/>
    </w:rPr>
  </w:style>
  <w:style w:type="paragraph" w:styleId="Odstavecseseznamem">
    <w:name w:val="List Paragraph"/>
    <w:basedOn w:val="Normln"/>
    <w:uiPriority w:val="34"/>
    <w:qFormat/>
    <w:rsid w:val="008416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ozpocet.kr-stredocesky.cz/rozpocet/" TargetMode="External"/><Relationship Id="rId5" Type="http://schemas.openxmlformats.org/officeDocument/2006/relationships/hyperlink" Target="https://monitor.statnipokladna.cz/"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5794</Words>
  <Characters>34188</Characters>
  <Application>Microsoft Office Word</Application>
  <DocSecurity>0</DocSecurity>
  <Lines>284</Lines>
  <Paragraphs>79</Paragraphs>
  <ScaleCrop>false</ScaleCrop>
  <HeadingPairs>
    <vt:vector size="2" baseType="variant">
      <vt:variant>
        <vt:lpstr>Název</vt:lpstr>
      </vt:variant>
      <vt:variant>
        <vt:i4>1</vt:i4>
      </vt:variant>
    </vt:vector>
  </HeadingPairs>
  <TitlesOfParts>
    <vt:vector size="1" baseType="lpstr">
      <vt:lpstr/>
    </vt:vector>
  </TitlesOfParts>
  <Company>KUSK</Company>
  <LinksUpToDate>false</LinksUpToDate>
  <CharactersWithSpaces>39903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Pokorná Lucie</dc:creator>
  <cp:keywords/>
  <dc:description/>
  <cp:lastModifiedBy>Pokorná Lucie</cp:lastModifiedBy>
  <cp:revision>3</cp:revision>
  <dcterms:created xsi:type="dcterms:W3CDTF">2021-11-12T09:58:00Z</dcterms:created>
  <dcterms:modified xsi:type="dcterms:W3CDTF">2021-11-12T10:01:00Z</dcterms:modified>
</cp:coreProperties>
</file>